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5fd5" w14:textId="d055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Инструкция о порядке регистрации маломерных судов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приказом Министра транспорта и коммуникаций Республики Казахстан от 10 августа 1998 года N 172. Зарегистрирована в Министерстве юстиции Республики Казахстан 1.09.1998г. N 592. Утратила силу - приказом Министерства транспорта и коммуникаций Республики Казахстан от 14.03.2003г. N 99-I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Извлечение из приказа Министерства  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 транспорта и коммуникаций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Республики Казахстан от 14.03.2003г. N 99-I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"...                                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     Приложение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 к приказу Министерства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 транспорта и коммуникаций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 Республики Казахстан от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 14.03.2003г. N 99-I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Перечень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 утративших силу некоторых нормативных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 правовых актов Министерства транспорта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 и коммуникаций Республики Казахстан   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1. Инструкция о порядке регистрации маломерных судов, утвержденная приказом Министра транспорта и коммуникаций Республики Казахстан от 10 августа 1998 года N 172...".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определяет порядок проведения регистрации и заполнения регистрационных документов Транспортной инспекции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Работники Государственной инспекции осуществляя регистрацию, должны руководствоваться Правилами регистрации, учета и технического надзора за судами, поднадзорными Транспортной инспекции РК, базами (сооружениями) для их стоянок и аттестации судоводителей на право управления этими судами (в дальнейшем - Правила регистрации) и настоящей Инструкцией.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регистрации судну присваивается бортовой номер и судовладельцу выдается судовой билет.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Бортовой номер состоит из трех букв русского алфавита и четырех цифр.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соответствуют порядковому номеру в регистрационной судовой книге.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инспекции областей устанавливают бортовые номера на маломерных судах: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Акмолинская область                             КАМ с 0001 до 9999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Актюбинская область                             КАК с 0001 до 9999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Алматинская область                             КАЛ с 0001 до 9999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Атырауская область                              КАТ с 0001 до 9999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Восточно-Казахстанская область                  КВК с 0001 до 9999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Джамбульская область                            КДЖ с 0001 до 9999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Карагандинская область                          ККР с 0001 до 9999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Кзыл-Ординская область                          ККЗ с 0001 до 9999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Костанайская область                            ККУ с 0001 до 9999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Мангистауская область                          КМН с 0001 до 9999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Павлодарская область                           КПВ с 0001 до 9999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Северо-Казахстанская область                   КСК с 0001 до 9999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Западно-Казахстанская область                  КУР с 0001 до 9999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Южно-Казахстанская область                     КЧМ с 0001 до 9999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Прокатным гребным и парусным лодкам, пользование которыми производится в ограниченной акватории, присваивается литер из одной буквы и порядковый номер, соответствующий номеру учета на каждом прокатном пункте в отдельности. При этом плавсредствам проката присваивается буква "П", независимо от ведомства.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общества охотников и рыболовов присваивается буква "Р". Регистрация производится в отдельном журнале.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Маломерные судна, находящиеся в собственности двух или более владельцев, регистрируются только на одного владельца по их согласию, талон предупреждений судоводителя гребного судна оформляется на каждого совладельца в отдельности.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Регистрация судов индивидуальной постройки производится на основании проектно-технической документации, после первичного освидетельствования.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восстановлении потерянного или испорченного судового билета следует руководствоваться Правилами регистрации.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Регистрационная карточка-заявление судовладельца, судовой билет и судовая книга ведутся по установленным формам. При этом: тип, категория судна, условия плавания, грузоподъемность, пассажировместимость, допустимая мощность двигателя указываются в соответствии с требованиями инструкции по техническому надзору.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данные во всех случаях не должны превышать данных, записанных в паспорте судна, выданном заводом-изготовителем.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Грузоподъемность, пассажировместимость, предельная мощность двигателя и т.д. для судов индивидуальной постройки рассчитываются по методике, изложенной в инструкции по оценке технического состояния маломерных судов, их баз-стоянок, переправ, поднадзорных Транспортной инспекции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судна указывается так, как записано в паспорте судна, выданном заводом-изготовителем, при этом маломерные моторные суда подразделяются на: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прогулочные - для прогулок, туризма, охоты, рыбной ловли;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служебно-разъездные - для перевозки служебных лиц или грузов (например, тренерские);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- специально оборудованные для технических целей.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Несамоходные суда по назначению подразделяются на транспортные (баржи) и стояночные (деборкадеры).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Минимальный состав экипажа определяется в зависимости от возможностей управления судном (наличие дистанционного управления двигателем и рулем, обслуживание парусного вооружения).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Допустимая площадь парусов указывается по паспорту судна, либо рассчитывается по методике, указанной в инструкции по оценке технического состояния маломерных судов, их баз-стоянок, переправ, поднадзорных Транспортной инспекции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Остальные графы судового билета и судовой книги заполняются по фактическому наличию, соответствующему нормам снабжения, стационарного и переносного оборудования.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определении пределов поднадзорности судов, регламентированных правилами регистрации, следует иметь в виду, что судно пассажиро- вместимостью, равной одному человеку, независимо из какого материала оно изготовлено (если нет ограничений по принадлежности или назначению), поднадзорно Транспортной инспекции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