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5fd5" w14:textId="d055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регистрации маломерных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приказом Министра транспорта и коммуникаций Республики Казахстан от 10 августа 1998 года N 172. Зарегистрирована в Министерстве юстиции Республики Казахстан 1.09.1998г. N 592. Утратила силу - приказом Министерства транспорта и коммуникаций Республики Казахстан от 14.03.2003г. N 99-I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Извлечение из приказа Министерства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 транспорта и коммуникаций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 от 14.03.2003г. N 99-I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"...                           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 Приложение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 к приказу Министерства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транспорта и коммуникаций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Республики Казахстан от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 14.03.2003г. N 99-I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 Перечень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утративших силу некоторых нормативных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 правовых актов Министерства транспорта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 и коммуникаций Республики Казахстан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1. Инструкция о порядке регистрации маломерных судов, утвержденная приказом Министра транспорта и коммуникаций Республики Казахстан от 10 августа 1998 года N 172...".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определяет порядок проведения регистрации и заполнения регистрационных документов Транспортной инспекции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Работники Государственной инспекции осуществляя регистрацию, должны руководствоваться Правилами регистрации, учета и технического надзора за судами, поднадзорными Транспортной инспекции РК, базами (сооружениями) для их стоянок и аттестации судоводителей на право управления этими судами (в дальнейшем - Правила регистрации) и настоящей Инструкцией.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регистрации судну присваивается бортовой номер и судовладельцу выдается судовой билет.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Бортовой номер состоит из трех букв русского алфавита и четырех цифр.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соответствуют порядковому номеру в регистрационной судовой книге.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Транспортные инспекции областей устанавливают бортовые номера на маломерных судах: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Акмолинская область                             КАМ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Актюбинская область                             КАК с 0001 до 9999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Алматинская область                             КАЛ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Атырауская область                              КАТ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Восточно-Казахстанская область                  КВК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Джамбульская область                            КДЖ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Карагандинская область                          ККР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Кзыл-Ординская область                          ККЗ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Костанайская область                            ККУ с 0001 до 9999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Мангистауская область                          КМН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Павлодарская область                           КПВ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Северо-Казахстанская область                   КСК с 0001 до 9999 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Западно-Казахстанская область                  КУР с 0001 до 9999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Южно-Казахстанская область                     КЧМ с 0001 до 9999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Прокатным гребным и парусным лодкам, пользование которыми производится в ограниченной акватории, присваивается литер из одной буквы и порядковый номер, соответствующий номеру учета на каждом прокатном пункте в отдельности. При этом плавсредствам проката присваивается буква "П", независимо от ведомства.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общества охотников и рыболовов присваивается буква "Р". Регистрация производится в отдельном журнале.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Маломерные судна, находящиеся в собственности двух или более владельцев, регистрируются только на одного владельца по их согласию, талон предупреждений судоводителя гребного судна оформляется на каждого совладельца в отдельности.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Регистрация судов индивидуальной постройки производится на основании проектно-технической документации, после первичного освидетельствования.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восстановлении потерянного или испорченного судового билета следует руководствоваться Правилами регистрации.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Регистрационная карточка-заявление судовладельца, судовой билет и судовая книга ведутся по установленным формам. При этом: тип, категория судна, условия плавания, грузоподъемность, пассажировместимость, допустимая мощность двигателя указываются в соответствии с требованиями инструкции по техническому надзору.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данные во всех случаях не должны превышать данных, записанных в паспорте судна, выданном заводом-изготовителем.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Грузоподъемность, пассажировместимость, предельная мощность двигателя и т.д. для судов индивидуальной постройки рассчитываются по методике, изложенной в инструкции по оценке технического состояния маломерных судов, их баз-стоянок, переправ, поднадзорных Транспортной инспекции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Назначение судна указывается так, как записано в паспорте судна, выданном заводом-изготовителем, при этом маломерные моторные суда подразделяются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прогулочные - для прогулок, туризма, охоты, рыбной ловли;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служебно-разъездные - для перевозки служебных лиц или грузов (например, тренерские);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- специально оборудованные для технических целей.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Несамоходные суда по назначению подразделяются на транспортные (баржи) и стояночные (деборкадеры).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Минимальный состав экипажа определяется в зависимости от возможностей управления судном (наличие дистанционного управления двигателем и рулем, обслуживание парусного вооружения).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Допустимая площадь парусов указывается по паспорту судна, либо рассчитывается по методике, указанной в инструкции по оценке технического состояния маломерных судов, их баз-стоянок, переправ, поднадзорных Транспортной инспекции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Остальные графы судового билета и судовой книги заполняются по фактическому наличию, соответствующему нормам снабжения, стационарного и переносного оборудования.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определении пределов поднадзорности судов, регламентированных правилами регистрации, следует иметь в виду, что судно пассажиро- вместимостью, равной одному человеку, независимо из какого материала оно изготовлено (если нет ограничений по принадлежности или назначению), поднадзорно Транспортной инспекции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