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3734" w14:textId="1a03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Житикаринского района Костанайской области от 21 января 2022 года № 21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31 марта 2026 года № 83. Зарегистрировано в Министерстве юстиции Республики Казахстан 31 марта 2026 года № 38254</w:t>
      </w:r>
    </w:p>
    <w:p>
      <w:pPr>
        <w:spacing w:after="0"/>
        <w:ind w:left="0"/>
        <w:jc w:val="both"/>
      </w:pPr>
      <w:bookmarkStart w:name="z4" w:id="0"/>
      <w:r>
        <w:rPr>
          <w:rFonts w:ascii="Times New Roman"/>
          <w:b w:val="false"/>
          <w:i w:val="false"/>
          <w:color w:val="000000"/>
          <w:sz w:val="28"/>
        </w:rPr>
        <w:t>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Житикаринского района Костанайской области от 21 января 2022 года </w:t>
      </w:r>
      <w:r>
        <w:rPr>
          <w:rFonts w:ascii="Times New Roman"/>
          <w:b w:val="false"/>
          <w:i w:val="false"/>
          <w:color w:val="000000"/>
          <w:sz w:val="28"/>
        </w:rPr>
        <w:t>№ 21</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 (зарегистрированное в Реестре государственной регистрации нормативных правовых актов за № 26674)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bl>
    <w:bookmarkStart w:name="z27"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bookmarkEnd w:id="9"/>
    <w:bookmarkStart w:name="z28" w:id="10"/>
    <w:p>
      <w:pPr>
        <w:spacing w:after="0"/>
        <w:ind w:left="0"/>
        <w:jc w:val="left"/>
      </w:pPr>
      <w:r>
        <w:rPr>
          <w:rFonts w:ascii="Times New Roman"/>
          <w:b/>
          <w:i w:val="false"/>
          <w:color w:val="000000"/>
        </w:rPr>
        <w:t xml:space="preserve"> Глава 1. Общие положения</w:t>
      </w:r>
    </w:p>
    <w:bookmarkEnd w:id="10"/>
    <w:bookmarkStart w:name="z29"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w:t>
      </w:r>
    </w:p>
    <w:bookmarkEnd w:id="11"/>
    <w:bookmarkStart w:name="z30"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31"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2"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3"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34"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5"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6" w:id="18"/>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37" w:id="19"/>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8" w:id="20"/>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39" w:id="21"/>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w:t>
      </w:r>
    </w:p>
    <w:bookmarkEnd w:id="21"/>
    <w:bookmarkStart w:name="z40" w:id="22"/>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акимата Житикаринского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населенным пунктам Житикаринского района.</w:t>
      </w:r>
    </w:p>
    <w:bookmarkEnd w:id="22"/>
    <w:bookmarkStart w:name="z41" w:id="23"/>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Житикаринского района" обеспечивает разработку и утверждение единого архитектурного облика населенным пунктам Житикаринского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3"/>
    <w:bookmarkStart w:name="z42" w:id="24"/>
    <w:p>
      <w:pPr>
        <w:spacing w:after="0"/>
        <w:ind w:left="0"/>
        <w:jc w:val="both"/>
      </w:pPr>
      <w:r>
        <w:rPr>
          <w:rFonts w:ascii="Times New Roman"/>
          <w:b w:val="false"/>
          <w:i w:val="false"/>
          <w:color w:val="000000"/>
          <w:sz w:val="28"/>
        </w:rPr>
        <w:t xml:space="preserve">
      5. Государственное учреждение "Отдел жилищно-коммунального хозяйства, пассажирского транспорта, автомобильных дорог и жилищной инспекции акимата Житикаринского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 (зарегистрировано в Реестре государственной регистрации нормативных правовых актов под № 20283) организуют следующие мероприятия:</w:t>
      </w:r>
    </w:p>
    <w:bookmarkEnd w:id="24"/>
    <w:bookmarkStart w:name="z43"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Житикаринского района на официальном интернет-ресурсе акимата;</w:t>
      </w:r>
    </w:p>
    <w:bookmarkEnd w:id="25"/>
    <w:bookmarkStart w:name="z44"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45"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7"/>
    <w:bookmarkStart w:name="z46" w:id="2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47"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населенным пунктам Житикаринского района, не производятся.</w:t>
      </w:r>
    </w:p>
    <w:bookmarkEnd w:id="29"/>
    <w:bookmarkStart w:name="z48" w:id="3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0"/>
    <w:bookmarkStart w:name="z49"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1"/>
    <w:bookmarkStart w:name="z50" w:id="32"/>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осуществляется Отделом с привлечением лиц осуществляющих технический надзор.</w:t>
      </w:r>
    </w:p>
    <w:bookmarkEnd w:id="32"/>
    <w:bookmarkStart w:name="z51" w:id="33"/>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осуществляется Отделом с привлечением лиц, осуществляющих технический надзор.</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