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e8852" w14:textId="cde88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 Министерства финансов Республики Казахстан</w:t>
      </w:r>
    </w:p>
    <w:p>
      <w:pPr>
        <w:spacing w:after="0"/>
        <w:ind w:left="0"/>
        <w:jc w:val="both"/>
      </w:pPr>
      <w:r>
        <w:rPr>
          <w:rFonts w:ascii="Times New Roman"/>
          <w:b w:val="false"/>
          <w:i w:val="false"/>
          <w:color w:val="000000"/>
          <w:sz w:val="28"/>
        </w:rPr>
        <w:t>Приказ Министра финансов Республики Казахстан от 24 сентября 2026 года № 638. Зарегистрирован в Министерстве юстиции Республики Казахстан 25 сентября 2026 года № 39970</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Министерства финансов Республики Казахстан, в которые вносятся изменения.</w:t>
      </w:r>
    </w:p>
    <w:bookmarkEnd w:id="1"/>
    <w:bookmarkStart w:name="z6" w:id="2"/>
    <w:p>
      <w:pPr>
        <w:spacing w:after="0"/>
        <w:ind w:left="0"/>
        <w:jc w:val="both"/>
      </w:pPr>
      <w:r>
        <w:rPr>
          <w:rFonts w:ascii="Times New Roman"/>
          <w:b w:val="false"/>
          <w:i w:val="false"/>
          <w:color w:val="000000"/>
          <w:sz w:val="28"/>
        </w:rPr>
        <w:t>
      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дня его первого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Настоящий приказ вводится в действие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финансов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Высшая аудиторская палата</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сентября 2026 года</w:t>
            </w:r>
            <w:r>
              <w:br/>
            </w:r>
            <w:r>
              <w:rPr>
                <w:rFonts w:ascii="Times New Roman"/>
                <w:b w:val="false"/>
                <w:i w:val="false"/>
                <w:color w:val="000000"/>
                <w:sz w:val="20"/>
              </w:rPr>
              <w:t>№ 638</w:t>
            </w:r>
          </w:p>
        </w:tc>
      </w:tr>
    </w:tbl>
    <w:bookmarkStart w:name="z14" w:id="8"/>
    <w:p>
      <w:pPr>
        <w:spacing w:after="0"/>
        <w:ind w:left="0"/>
        <w:jc w:val="left"/>
      </w:pPr>
      <w:r>
        <w:rPr>
          <w:rFonts w:ascii="Times New Roman"/>
          <w:b/>
          <w:i w:val="false"/>
          <w:color w:val="000000"/>
        </w:rPr>
        <w:t xml:space="preserve"> Перечень некоторых приказов Министерства финансов Республики Казахстан, в которые вносятся изменения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ноября 2015 года № 597 "Об утверждении типовой системы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 (зарегистрирован в Реестре государственной регистрации нормативных правовых актов под № 12490) следующие изменения:</w:t>
      </w:r>
    </w:p>
    <w:bookmarkEnd w:id="9"/>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Типовой</w:t>
      </w:r>
      <w:r>
        <w:rPr>
          <w:rFonts w:ascii="Times New Roman"/>
          <w:b w:val="false"/>
          <w:i w:val="false"/>
          <w:color w:val="000000"/>
          <w:sz w:val="28"/>
        </w:rPr>
        <w:t xml:space="preserve"> системе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 (далее – Типовая система), утвержденной указанным приказом: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3 изложить в следующей редакции:</w:t>
      </w:r>
    </w:p>
    <w:bookmarkStart w:name="z18" w:id="11"/>
    <w:p>
      <w:pPr>
        <w:spacing w:after="0"/>
        <w:ind w:left="0"/>
        <w:jc w:val="both"/>
      </w:pPr>
      <w:r>
        <w:rPr>
          <w:rFonts w:ascii="Times New Roman"/>
          <w:b w:val="false"/>
          <w:i w:val="false"/>
          <w:color w:val="000000"/>
          <w:sz w:val="28"/>
        </w:rPr>
        <w:t>
       "4) предметы государственного аудита и финансового контроля (далее – предметы государственного аудита) – деятельность государственных органов, в том числе управление государственными финансами, государственные, отраслевые и бюджетные программы, планы развития государственных органов, планы развития столицы, области, города республиканского значения;";</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Типовой системе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bookmarkStart w:name="z20" w:id="12"/>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финансов Республики Казахстан от 20 апреля 2018 года № 480 "Об утверждении процедурного стандарта внутреннего государственного аудита и финансового контроля "Оценка эффективности деятельности служб внутреннего аудита" (зарегистрирован в Реестре государственной регистрации нормативных правовых актов под № 16878) следующие изменения:</w:t>
      </w:r>
    </w:p>
    <w:bookmarkEnd w:id="12"/>
    <w:bookmarkStart w:name="z21"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процедурном</w:t>
      </w:r>
      <w:r>
        <w:rPr>
          <w:rFonts w:ascii="Times New Roman"/>
          <w:b w:val="false"/>
          <w:i w:val="false"/>
          <w:color w:val="000000"/>
          <w:sz w:val="28"/>
        </w:rPr>
        <w:t xml:space="preserve"> стандарте внутреннего государственного аудита и финансового контроля "Оценка эффективности деятельности служб внутреннего аудита", утвержденном указанным приказом:</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3" w:id="14"/>
    <w:p>
      <w:pPr>
        <w:spacing w:after="0"/>
        <w:ind w:left="0"/>
        <w:jc w:val="both"/>
      </w:pPr>
      <w:r>
        <w:rPr>
          <w:rFonts w:ascii="Times New Roman"/>
          <w:b w:val="false"/>
          <w:i w:val="false"/>
          <w:color w:val="000000"/>
          <w:sz w:val="28"/>
        </w:rPr>
        <w:t>
      "2. Стандарт определяет цели и способы оценки эффективности деятельности служб внутреннего аудита центральных государственных органов, местных исполнительных органов столицы, областей, городов республиканского значения ведомств центральных государственных органов (при создании), подведомственных территориальных органов Министерства внутренних дел Республики Казахстан, создаваемых по усмотрению первого руководителя в рамках штатной численности (далее – СВА), порядок составления программы повышения качества внутреннего государственного аудита,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и специальных государственных органов Республики Казахстан.";</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25" w:id="15"/>
    <w:p>
      <w:pPr>
        <w:spacing w:after="0"/>
        <w:ind w:left="0"/>
        <w:jc w:val="both"/>
      </w:pPr>
      <w:r>
        <w:rPr>
          <w:rFonts w:ascii="Times New Roman"/>
          <w:b w:val="false"/>
          <w:i w:val="false"/>
          <w:color w:val="000000"/>
          <w:sz w:val="28"/>
        </w:rPr>
        <w:t>
      "47. Внеплановой оценкой уполномоченного органа является оценка, не предусмотренная в плановом и камеральном порядках, которая проводится по решению руководителя уполномоченного органа либо лица, исполняющего его обязанности, при наличии одного из следующих обстоятельств:</w:t>
      </w:r>
    </w:p>
    <w:bookmarkEnd w:id="15"/>
    <w:bookmarkStart w:name="z26" w:id="16"/>
    <w:p>
      <w:pPr>
        <w:spacing w:after="0"/>
        <w:ind w:left="0"/>
        <w:jc w:val="both"/>
      </w:pPr>
      <w:r>
        <w:rPr>
          <w:rFonts w:ascii="Times New Roman"/>
          <w:b w:val="false"/>
          <w:i w:val="false"/>
          <w:color w:val="000000"/>
          <w:sz w:val="28"/>
        </w:rPr>
        <w:t>
      письменное обращение руководителя СВА, либо лица, его замещающего, о проведении внеплановой оценки направленное в уполномоченный орган посредством СЭД;</w:t>
      </w:r>
    </w:p>
    <w:bookmarkEnd w:id="16"/>
    <w:bookmarkStart w:name="z27" w:id="17"/>
    <w:p>
      <w:pPr>
        <w:spacing w:after="0"/>
        <w:ind w:left="0"/>
        <w:jc w:val="both"/>
      </w:pPr>
      <w:r>
        <w:rPr>
          <w:rFonts w:ascii="Times New Roman"/>
          <w:b w:val="false"/>
          <w:i w:val="false"/>
          <w:color w:val="000000"/>
          <w:sz w:val="28"/>
        </w:rPr>
        <w:t>
      обращение, содержащее факты, утверждающие наличие нарушений работниками СВА законодательства Республики Казахстан о государственном аудите и финансовом контроле при проведении внутреннего государственного аудита;</w:t>
      </w:r>
    </w:p>
    <w:bookmarkEnd w:id="17"/>
    <w:bookmarkStart w:name="z28" w:id="18"/>
    <w:p>
      <w:pPr>
        <w:spacing w:after="0"/>
        <w:ind w:left="0"/>
        <w:jc w:val="both"/>
      </w:pPr>
      <w:r>
        <w:rPr>
          <w:rFonts w:ascii="Times New Roman"/>
          <w:b w:val="false"/>
          <w:i w:val="false"/>
          <w:color w:val="000000"/>
          <w:sz w:val="28"/>
        </w:rPr>
        <w:t>
      выявление существенных рисков по результатам камерального порядка деятельности СВА или анализа его оценок.";</w:t>
      </w:r>
    </w:p>
    <w:bookmarkEnd w:id="18"/>
    <w:bookmarkStart w:name="z29" w:id="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Критериях</w:t>
      </w:r>
      <w:r>
        <w:rPr>
          <w:rFonts w:ascii="Times New Roman"/>
          <w:b w:val="false"/>
          <w:i w:val="false"/>
          <w:color w:val="000000"/>
          <w:sz w:val="28"/>
        </w:rPr>
        <w:t xml:space="preserve"> оценки эффективности деятельности службы внутреннего аудита, утвержденных указанным процедурным стандартом:</w:t>
      </w:r>
    </w:p>
    <w:bookmarkEnd w:id="19"/>
    <w:bookmarkStart w:name="z30" w:id="20"/>
    <w:p>
      <w:pPr>
        <w:spacing w:after="0"/>
        <w:ind w:left="0"/>
        <w:jc w:val="both"/>
      </w:pPr>
      <w:r>
        <w:rPr>
          <w:rFonts w:ascii="Times New Roman"/>
          <w:b w:val="false"/>
          <w:i w:val="false"/>
          <w:color w:val="000000"/>
          <w:sz w:val="28"/>
        </w:rPr>
        <w:t>
      строку, порядковый номер 1, изложить в следующей редакции:</w:t>
      </w:r>
    </w:p>
    <w:bookmarkEnd w:id="20"/>
    <w:bookmarkStart w:name="z31" w:id="21"/>
    <w:p>
      <w:pPr>
        <w:spacing w:after="0"/>
        <w:ind w:left="0"/>
        <w:jc w:val="both"/>
      </w:pPr>
      <w:r>
        <w:rPr>
          <w:rFonts w:ascii="Times New Roman"/>
          <w:b w:val="false"/>
          <w:i w:val="false"/>
          <w:color w:val="000000"/>
          <w:sz w:val="28"/>
        </w:rPr>
        <w:t>
      "</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Перечня объектов государственного аудита на соответствующий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фактов дублирования проверок с Высшей аудиторской палатой Республики Казахстан, уполномоченным органом по внутреннему государственному аудиту и ревизионными комиссиями столицы, областей, городов республиканского значения, в Перечне объектов государственного аудита на соответствующий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32" w:id="22"/>
    <w:p>
      <w:pPr>
        <w:spacing w:after="0"/>
        <w:ind w:left="0"/>
        <w:jc w:val="both"/>
      </w:pPr>
      <w:r>
        <w:rPr>
          <w:rFonts w:ascii="Times New Roman"/>
          <w:b w:val="false"/>
          <w:i w:val="false"/>
          <w:color w:val="000000"/>
          <w:sz w:val="28"/>
        </w:rPr>
        <w:t>
      ";</w:t>
      </w:r>
    </w:p>
    <w:bookmarkEnd w:id="22"/>
    <w:bookmarkStart w:name="z33" w:id="23"/>
    <w:p>
      <w:pPr>
        <w:spacing w:after="0"/>
        <w:ind w:left="0"/>
        <w:jc w:val="both"/>
      </w:pPr>
      <w:r>
        <w:rPr>
          <w:rFonts w:ascii="Times New Roman"/>
          <w:b w:val="false"/>
          <w:i w:val="false"/>
          <w:color w:val="000000"/>
          <w:sz w:val="28"/>
        </w:rPr>
        <w:t>
      строки, порядковые номера 14 и 15 изложить в следующей редакции:</w:t>
      </w:r>
    </w:p>
    <w:bookmarkEnd w:id="23"/>
    <w:bookmarkStart w:name="z34" w:id="24"/>
    <w:p>
      <w:pPr>
        <w:spacing w:after="0"/>
        <w:ind w:left="0"/>
        <w:jc w:val="both"/>
      </w:pPr>
      <w:r>
        <w:rPr>
          <w:rFonts w:ascii="Times New Roman"/>
          <w:b w:val="false"/>
          <w:i w:val="false"/>
          <w:color w:val="000000"/>
          <w:sz w:val="28"/>
        </w:rPr>
        <w:t>
      "</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Своевременность внесения материалов государственного аудита в систему электронного документооборота уполномоченного органа (Финансовый контроль. Система управления рисками)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несвоевременно внесенных материалов дел государственного аудита в подсистему "Система управления рисками. Финансовый контроль" в соответствии с установленными требованиями законодательства Республики Казахстан о государственном аудите (полнота внесения материалов) от количества аудиторских мероприятии за отчетный год менее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Взыскание в доход бюджета сумм административных штрафов, по которым наступил срок уплаты, а также переданных на принудительное взыскание в установленном законодательством Республики Казахстан порядке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взысканных в доход бюджета сумм административных штрафов в общей сумме штрафов, наложенных в отчетном периоде, по которым наступил срок уплаты и постановлений, вынесенных судами, а также переданных на принудительное взыскание в установленном законодательством Республики Казахстан порядке: до 50% от 50% до 60%; от 60% до 70%; от 70% до 80%; от 80% до 90%; от 90% до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0 </w:t>
            </w:r>
          </w:p>
          <w:p>
            <w:pPr>
              <w:spacing w:after="20"/>
              <w:ind w:left="20"/>
              <w:jc w:val="both"/>
            </w:pPr>
            <w:r>
              <w:rPr>
                <w:rFonts w:ascii="Times New Roman"/>
                <w:b w:val="false"/>
                <w:i w:val="false"/>
                <w:color w:val="000000"/>
                <w:sz w:val="20"/>
              </w:rPr>
              <w:t>1</w:t>
            </w:r>
          </w:p>
          <w:p>
            <w:pPr>
              <w:spacing w:after="20"/>
              <w:ind w:left="20"/>
              <w:jc w:val="both"/>
            </w:pPr>
            <w:r>
              <w:rPr>
                <w:rFonts w:ascii="Times New Roman"/>
                <w:b w:val="false"/>
                <w:i w:val="false"/>
                <w:color w:val="000000"/>
                <w:sz w:val="20"/>
              </w:rPr>
              <w:t xml:space="preserve"> 2</w:t>
            </w:r>
          </w:p>
          <w:p>
            <w:pPr>
              <w:spacing w:after="20"/>
              <w:ind w:left="20"/>
              <w:jc w:val="both"/>
            </w:pPr>
            <w:r>
              <w:rPr>
                <w:rFonts w:ascii="Times New Roman"/>
                <w:b w:val="false"/>
                <w:i w:val="false"/>
                <w:color w:val="000000"/>
                <w:sz w:val="20"/>
              </w:rPr>
              <w:t xml:space="preserve"> 3</w:t>
            </w:r>
          </w:p>
          <w:p>
            <w:pPr>
              <w:spacing w:after="20"/>
              <w:ind w:left="20"/>
              <w:jc w:val="both"/>
            </w:pPr>
            <w:r>
              <w:rPr>
                <w:rFonts w:ascii="Times New Roman"/>
                <w:b w:val="false"/>
                <w:i w:val="false"/>
                <w:color w:val="000000"/>
                <w:sz w:val="20"/>
              </w:rPr>
              <w:t xml:space="preserve"> 4</w:t>
            </w:r>
          </w:p>
          <w:p>
            <w:pPr>
              <w:spacing w:after="20"/>
              <w:ind w:left="20"/>
              <w:jc w:val="both"/>
            </w:pPr>
            <w:r>
              <w:rPr>
                <w:rFonts w:ascii="Times New Roman"/>
                <w:b w:val="false"/>
                <w:i w:val="false"/>
                <w:color w:val="000000"/>
                <w:sz w:val="20"/>
              </w:rPr>
              <w:t xml:space="preserve"> 5</w:t>
            </w:r>
          </w:p>
        </w:tc>
      </w:tr>
    </w:tbl>
    <w:bookmarkStart w:name="z35" w:id="25"/>
    <w:p>
      <w:pPr>
        <w:spacing w:after="0"/>
        <w:ind w:left="0"/>
        <w:jc w:val="both"/>
      </w:pPr>
      <w:r>
        <w:rPr>
          <w:rFonts w:ascii="Times New Roman"/>
          <w:b w:val="false"/>
          <w:i w:val="false"/>
          <w:color w:val="000000"/>
          <w:sz w:val="28"/>
        </w:rPr>
        <w:t>
      ";</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к указанному процедурному стандарту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к указанному процедурному стандарту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bookmarkStart w:name="z38" w:id="26"/>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 октября 2018 года № 873 "Об утверждении процедурного стандарта внутреннего государственного аудита и финансового контроля по проведению аудита эффективности службами внутреннего аудита" (зарегистрирован в Реестре государственной регистрации нормативных правовых актов под № 17690) следующие изменения:</w:t>
      </w:r>
    </w:p>
    <w:bookmarkEnd w:id="26"/>
    <w:bookmarkStart w:name="z39" w:id="27"/>
    <w:p>
      <w:pPr>
        <w:spacing w:after="0"/>
        <w:ind w:left="0"/>
        <w:jc w:val="both"/>
      </w:pPr>
      <w:r>
        <w:rPr>
          <w:rFonts w:ascii="Times New Roman"/>
          <w:b w:val="false"/>
          <w:i w:val="false"/>
          <w:color w:val="000000"/>
          <w:sz w:val="28"/>
        </w:rPr>
        <w:t xml:space="preserve">
      в процедурном </w:t>
      </w:r>
      <w:r>
        <w:rPr>
          <w:rFonts w:ascii="Times New Roman"/>
          <w:b w:val="false"/>
          <w:i w:val="false"/>
          <w:color w:val="000000"/>
          <w:sz w:val="28"/>
        </w:rPr>
        <w:t>стандарте</w:t>
      </w:r>
      <w:r>
        <w:rPr>
          <w:rFonts w:ascii="Times New Roman"/>
          <w:b w:val="false"/>
          <w:i w:val="false"/>
          <w:color w:val="000000"/>
          <w:sz w:val="28"/>
        </w:rPr>
        <w:t xml:space="preserve"> внутреннего государственного аудита и финансового контроля по проведению аудита эффективности службами внутреннего аудита, утвержденном указанным приказом:</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41" w:id="28"/>
    <w:p>
      <w:pPr>
        <w:spacing w:after="0"/>
        <w:ind w:left="0"/>
        <w:jc w:val="both"/>
      </w:pPr>
      <w:r>
        <w:rPr>
          <w:rFonts w:ascii="Times New Roman"/>
          <w:b w:val="false"/>
          <w:i w:val="false"/>
          <w:color w:val="000000"/>
          <w:sz w:val="28"/>
        </w:rPr>
        <w:t>
      "4. Аудиту эффективности подлежат все направления деятельности:</w:t>
      </w:r>
    </w:p>
    <w:bookmarkEnd w:id="28"/>
    <w:bookmarkStart w:name="z42" w:id="29"/>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 для СВА центральных государственных органов, за исключением СВА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29"/>
    <w:bookmarkStart w:name="z43" w:id="30"/>
    <w:p>
      <w:pPr>
        <w:spacing w:after="0"/>
        <w:ind w:left="0"/>
        <w:jc w:val="both"/>
      </w:pPr>
      <w:r>
        <w:rPr>
          <w:rFonts w:ascii="Times New Roman"/>
          <w:b w:val="false"/>
          <w:i w:val="false"/>
          <w:color w:val="000000"/>
          <w:sz w:val="28"/>
        </w:rPr>
        <w:t>
      в исполнительных органах, финансируемых из местных бюджетов и находящихся на территории административной подчиненности столицы, области, городов республиканского значения, их подразделениях, подведомственных организациях – для СВА местных исполнительных органов столицы, областей, городов республиканского значения.";</w:t>
      </w:r>
    </w:p>
    <w:bookmarkEnd w:id="30"/>
    <w:bookmarkStart w:name="z44" w:id="3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8</w:t>
      </w:r>
      <w:r>
        <w:rPr>
          <w:rFonts w:ascii="Times New Roman"/>
          <w:b w:val="false"/>
          <w:i w:val="false"/>
          <w:color w:val="000000"/>
          <w:sz w:val="28"/>
        </w:rPr>
        <w:t xml:space="preserve"> изложить в следующей редакции:</w:t>
      </w:r>
    </w:p>
    <w:bookmarkEnd w:id="31"/>
    <w:bookmarkStart w:name="z45" w:id="32"/>
    <w:p>
      <w:pPr>
        <w:spacing w:after="0"/>
        <w:ind w:left="0"/>
        <w:jc w:val="both"/>
      </w:pPr>
      <w:r>
        <w:rPr>
          <w:rFonts w:ascii="Times New Roman"/>
          <w:b w:val="false"/>
          <w:i w:val="false"/>
          <w:color w:val="000000"/>
          <w:sz w:val="28"/>
        </w:rPr>
        <w:t>
      "8. Отбор объектов аудита эффективности или отдельного направления его деятельности осуществляется на основе анализа исполнения плана развития государственного органа и планов развития столицы, области, города республиканского значения во взаимосвязи с бюджетными расходами и результатов оценки эффективности по направлениям деятельности государственного органа, проведенной за предыдущие годы, отчетов по выполнению планов мероприятий или планов развития субъектов квазигосударственного сектора, отчетов о результатах мониторинга реализации планов мероприятий или планов развития субъектов квазигосударственного сектора, анализа результатов оценки корпоративного управления, управления государственным имуществом, исполнения показателей бюджетных программ и поручений руководителя государственного органа или акима столицы, области, городов республиканского значения, обращений юридических и физических лиц, и иных сведений.";</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11 изложить в следующей редакции: </w:t>
      </w:r>
    </w:p>
    <w:bookmarkStart w:name="z47" w:id="33"/>
    <w:p>
      <w:pPr>
        <w:spacing w:after="0"/>
        <w:ind w:left="0"/>
        <w:jc w:val="both"/>
      </w:pPr>
      <w:r>
        <w:rPr>
          <w:rFonts w:ascii="Times New Roman"/>
          <w:b w:val="false"/>
          <w:i w:val="false"/>
          <w:color w:val="000000"/>
          <w:sz w:val="28"/>
        </w:rPr>
        <w:t>
      "2) план развития государственного органа, планы развития столицы, области, города республиканского значения результаты оценки эффективности по направлениям деятельности государственного органа, исполнение показателей бюджетных программ, а также иные сведения;";</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15 изложить в следующей редакции: </w:t>
      </w:r>
    </w:p>
    <w:bookmarkStart w:name="z49" w:id="34"/>
    <w:p>
      <w:pPr>
        <w:spacing w:after="0"/>
        <w:ind w:left="0"/>
        <w:jc w:val="both"/>
      </w:pPr>
      <w:r>
        <w:rPr>
          <w:rFonts w:ascii="Times New Roman"/>
          <w:b w:val="false"/>
          <w:i w:val="false"/>
          <w:color w:val="000000"/>
          <w:sz w:val="28"/>
        </w:rPr>
        <w:t>
      "2) приемлемость – показатели согласованы с требованиями законодательства Республики Казахстан или мнением независимых экспертов;";</w:t>
      </w:r>
    </w:p>
    <w:bookmarkEnd w:id="34"/>
    <w:bookmarkStart w:name="z50" w:id="3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35"/>
    <w:bookmarkStart w:name="z51" w:id="36"/>
    <w:p>
      <w:pPr>
        <w:spacing w:after="0"/>
        <w:ind w:left="0"/>
        <w:jc w:val="both"/>
      </w:pPr>
      <w:r>
        <w:rPr>
          <w:rFonts w:ascii="Times New Roman"/>
          <w:b w:val="false"/>
          <w:i w:val="false"/>
          <w:color w:val="000000"/>
          <w:sz w:val="28"/>
        </w:rPr>
        <w:t xml:space="preserve">
      "При разработке показателей аудита эффективности допускается использование критериев и показателей эффективности в соответствии с методиками, разработанными в целях реализации Системы ежегодной оценки эффективности деятельности центральных государственных и местных исполнительных органов столицы, областей, городов республиканского значения, утвержденной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19 марта 2010 года № 954.";</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40</w:t>
      </w:r>
      <w:r>
        <w:rPr>
          <w:rFonts w:ascii="Times New Roman"/>
          <w:b w:val="false"/>
          <w:i w:val="false"/>
          <w:color w:val="000000"/>
          <w:sz w:val="28"/>
        </w:rPr>
        <w:t xml:space="preserve"> изложить в следующей редакции:</w:t>
      </w:r>
    </w:p>
    <w:bookmarkStart w:name="z53" w:id="37"/>
    <w:p>
      <w:pPr>
        <w:spacing w:after="0"/>
        <w:ind w:left="0"/>
        <w:jc w:val="both"/>
      </w:pPr>
      <w:r>
        <w:rPr>
          <w:rFonts w:ascii="Times New Roman"/>
          <w:b w:val="false"/>
          <w:i w:val="false"/>
          <w:color w:val="000000"/>
          <w:sz w:val="28"/>
        </w:rPr>
        <w:t>
      "40. Руководитель СВА отчитывается перед руководителем центрального государственного органа или акимом столицы, области, городов республиканского значения о результатах аудита эффективности и влиянии исполненных рекомендаций на внутренние процедуры, бизнес-процессы по повышению эффективности работы, достижению показателей результатов деятельности объекта государственного аудита.".</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 xml:space="preserve">некоторых </w:t>
            </w:r>
            <w:r>
              <w:br/>
            </w:r>
            <w:r>
              <w:rPr>
                <w:rFonts w:ascii="Times New Roman"/>
                <w:b w:val="false"/>
                <w:i w:val="false"/>
                <w:color w:val="000000"/>
                <w:sz w:val="20"/>
              </w:rPr>
              <w:t xml:space="preserve">приказов Министерства </w:t>
            </w:r>
            <w:r>
              <w:br/>
            </w:r>
            <w:r>
              <w:rPr>
                <w:rFonts w:ascii="Times New Roman"/>
                <w:b w:val="false"/>
                <w:i w:val="false"/>
                <w:color w:val="000000"/>
                <w:sz w:val="20"/>
              </w:rPr>
              <w:t>финансов</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w:t>
            </w:r>
            <w:r>
              <w:br/>
            </w:r>
            <w:r>
              <w:rPr>
                <w:rFonts w:ascii="Times New Roman"/>
                <w:b w:val="false"/>
                <w:i w:val="false"/>
                <w:color w:val="000000"/>
                <w:sz w:val="20"/>
              </w:rPr>
              <w:t xml:space="preserve">вносятся изменения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типовой</w:t>
            </w:r>
            <w:r>
              <w:br/>
            </w:r>
            <w:r>
              <w:rPr>
                <w:rFonts w:ascii="Times New Roman"/>
                <w:b w:val="false"/>
                <w:i w:val="false"/>
                <w:color w:val="000000"/>
                <w:sz w:val="20"/>
              </w:rPr>
              <w:t>системе управления рисками,</w:t>
            </w:r>
            <w:r>
              <w:br/>
            </w:r>
            <w:r>
              <w:rPr>
                <w:rFonts w:ascii="Times New Roman"/>
                <w:b w:val="false"/>
                <w:i w:val="false"/>
                <w:color w:val="000000"/>
                <w:sz w:val="20"/>
              </w:rPr>
              <w:t xml:space="preserve">которая применяется при </w:t>
            </w:r>
            <w:r>
              <w:br/>
            </w:r>
            <w:r>
              <w:rPr>
                <w:rFonts w:ascii="Times New Roman"/>
                <w:b w:val="false"/>
                <w:i w:val="false"/>
                <w:color w:val="000000"/>
                <w:sz w:val="20"/>
              </w:rPr>
              <w:t>формировании</w:t>
            </w:r>
            <w:r>
              <w:br/>
            </w:r>
            <w:r>
              <w:rPr>
                <w:rFonts w:ascii="Times New Roman"/>
                <w:b w:val="false"/>
                <w:i w:val="false"/>
                <w:color w:val="000000"/>
                <w:sz w:val="20"/>
              </w:rPr>
              <w:t xml:space="preserve">перечня объектов </w:t>
            </w:r>
            <w:r>
              <w:br/>
            </w:r>
            <w:r>
              <w:rPr>
                <w:rFonts w:ascii="Times New Roman"/>
                <w:b w:val="false"/>
                <w:i w:val="false"/>
                <w:color w:val="000000"/>
                <w:sz w:val="20"/>
              </w:rPr>
              <w:t>государственного</w:t>
            </w:r>
            <w:r>
              <w:br/>
            </w:r>
            <w:r>
              <w:rPr>
                <w:rFonts w:ascii="Times New Roman"/>
                <w:b w:val="false"/>
                <w:i w:val="false"/>
                <w:color w:val="000000"/>
                <w:sz w:val="20"/>
              </w:rPr>
              <w:t xml:space="preserve">аудита и финансового контроля </w:t>
            </w:r>
            <w:r>
              <w:br/>
            </w:r>
            <w:r>
              <w:rPr>
                <w:rFonts w:ascii="Times New Roman"/>
                <w:b w:val="false"/>
                <w:i w:val="false"/>
                <w:color w:val="000000"/>
                <w:sz w:val="20"/>
              </w:rPr>
              <w:t>на</w:t>
            </w:r>
            <w:r>
              <w:br/>
            </w:r>
            <w:r>
              <w:rPr>
                <w:rFonts w:ascii="Times New Roman"/>
                <w:b w:val="false"/>
                <w:i w:val="false"/>
                <w:color w:val="000000"/>
                <w:sz w:val="20"/>
              </w:rPr>
              <w:t xml:space="preserve">соответствующий год и </w:t>
            </w:r>
            <w:r>
              <w:br/>
            </w:r>
            <w:r>
              <w:rPr>
                <w:rFonts w:ascii="Times New Roman"/>
                <w:b w:val="false"/>
                <w:i w:val="false"/>
                <w:color w:val="000000"/>
                <w:sz w:val="20"/>
              </w:rPr>
              <w:t>проведении</w:t>
            </w:r>
            <w:r>
              <w:br/>
            </w:r>
            <w:r>
              <w:rPr>
                <w:rFonts w:ascii="Times New Roman"/>
                <w:b w:val="false"/>
                <w:i w:val="false"/>
                <w:color w:val="000000"/>
                <w:sz w:val="20"/>
              </w:rPr>
              <w:t xml:space="preserve">внутреннего государственного </w:t>
            </w:r>
            <w:r>
              <w:br/>
            </w:r>
            <w:r>
              <w:rPr>
                <w:rFonts w:ascii="Times New Roman"/>
                <w:b w:val="false"/>
                <w:i w:val="false"/>
                <w:color w:val="000000"/>
                <w:sz w:val="20"/>
              </w:rPr>
              <w:t>аудита</w:t>
            </w:r>
          </w:p>
        </w:tc>
      </w:tr>
    </w:tbl>
    <w:bookmarkStart w:name="z56" w:id="38"/>
    <w:p>
      <w:pPr>
        <w:spacing w:after="0"/>
        <w:ind w:left="0"/>
        <w:jc w:val="left"/>
      </w:pPr>
      <w:r>
        <w:rPr>
          <w:rFonts w:ascii="Times New Roman"/>
          <w:b/>
          <w:i w:val="false"/>
          <w:color w:val="000000"/>
        </w:rPr>
        <w:t xml:space="preserve"> Базовые критерии рисков</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по администраторам бюджетных программ (далее – АБП)</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недостигнутых целевых индикаторов от общего количества, в процентах (далее – %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невыполненных мероприятий от общего количества,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показателей результата бюджетных программ, недостигших значений, предусмотренных в первоначально утвержденном плане развития государственного органа (далее – план развития), от общего количества,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показателей конечного результата бюджетных программ, недостигших значений, предусмотренных в первоначально утвержденном плане развития, от общего количества,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внесенных изменений и дополнений в план развития, количество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Годовой объем финансирования государственного органа, миллион (далее – млн.) теңге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бюджетных средств, охваченных контролем от общего объема бюджетных средств, выделенных за последние 2 (два) года,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Рост/снижение объемов финансирования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бюджетных средств на конец периода,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бюджетных инвестиционных проектов, реализуемых данным госорганом, в единицах (далее – ед.).</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финансовых нарушений, выявленных предыдущим контролем к объему расходов соответствующего периода,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объемов дебиторской задолженности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объемов кредиторской задолженности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последней комплексной проверки, год</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бюджетных программ, осуществляемых за счет резерва Правительства, ед.</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оценки эффективности управления бюджетными средствами, баллы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соответствующих аудиторских отчетов служб внутреннего аудита (далее – СВА) стандартам государственного аудита и финансового контроля,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фактов передачи в правоохранительные органы по итогам контрольных мероприятий, с возбуждением уголовных дел, за последние 2 (два) года,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подтвержденных фактов по результатам контрольных мероприятий осуществленных по постановлениям правоохранительных органов,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Выявленные случаи несоответствия Стандартам государственного финансового контроля СВА центральных государственных органов и местных исполнительных органов материалов контроля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заключенных договоров АБП и его подведомственных организаций с поставщиками, включенными в реестр недобросовестных поставщиков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государственных закупок способом из одного источника в общем объеме осуществленных закупок за отчетный период,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по государственным учреждениям (далее – ГУ)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бюджетных программ, реализуемых государственным учреждением, ед.</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Годовой объем финансирования государственного органа, млн. теңге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бюджетных средств, охваченных контролем от общего объема бюджетных средств, выделенных за последние два года,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Рост/снижение объемов финансирования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бюджетных средств на конец периода,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 финансовых нарушений, выявленных предыдущим контролем к объему расходов соответствующего периода,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объемов дебиторской задолженности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объемов кредиторской задолженности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последней комплексной проверки, год</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фактов передачи в правоохранительные органы по итогам контрольных мероприятий, с возбуждением уголовных дел, за последние 2 (два) года,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подтвержденных фактов по результатам контрольных мероприятий осуществленных по постановлениям правоохранительных органов,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нарушений соблюдения законодательства Республики Казахстан о государственных закупках, повлекших административную ответственность, к количеству процедур ГЗ, охваченных контролем</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Приоритетные бюджетные программы региона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Реализуемые инвестиционные проекты региона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Контрольные счета наличности от реализации платных услуг ГУ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Контрольные счета наличности временного размещения денег</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Контрольные счета наличности спонсорской и благотворительной помощи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обязательств по капитальным расходам млн. теңге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договоров гражданско-правовой ответственности со сроком исполнения менее 15 (пятнадцать) дней</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договоров по выполнению работ со сроком исполнения менее предусмотренных сроков чем в проектно-сметной документации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государственных закупок способом из одного источника в общем объеме осуществленных закупок за отчетный период,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по субъектам квазигосударственного сектора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Рост/снижение размера уставного капитала,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дочерних и ассоциированных организаций, в единицах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административных расходов от общего объема расходов,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последней проверки, год</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Несвоевременная сдача финансовой отчетности,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нарушений составления финансовой отчетности по результатам мониторинга,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в том числе по государственному заказу за последние 2 (два) года (в 100 % от заказа объема)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Недостачи товарно-материальных ценностей и денежные средства по итогам предыдущих проверок за последние 2 (два) года (в 2 % от общей суммы выявленных финансовых нарушений)</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в бухгалтерской отчетности убытков на протяжении нескольких финансовых периодов</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 выявленных финансовых нарушений по итогам предыдущих аудиторских проверок за последние 2 (два) года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нарушений соблюдения законодательства Республики Казахстан о государственных закупках, повлекших административную ответственность, к количеству процедур государственных закупок, охваченных контролем</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государственных закупок способом из одного источника в общем объеме осуществленных закупок за отчетный период,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по государственным программам</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недостигнутых целевых индикаторов от общего количества,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невыполненных мероприятий от общего количества,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показателей результата бюджетных программ, недостигших значений, предусмотренных в первоначально утвержденном плане развития, от общего количества,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показателей конечного результата бюджетных программ, недостигших значений, предусмотренных в первоначально утвержденном стратегическом плане, от общего количества,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внесенных изменений и дополнений в план развития, количество</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бюджетных средств на конец периода,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выявленных финансовых нарушений за последние 2 (два) года,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лиц, привлеченных к административной ответственности согласно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 "Об административных правонарушениях" за последние 2 (два) года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 выявленных нарушений законодательства Республики Казахстан о государственных закупках, влияющих на итоги государственных закупок, выявленных предыдущим контролем.</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по бюджетным программам</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бюджетных средств на конец периода,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объемов дебиторской задолженности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объемов кредиторской задолженности по сравнению с прошлым периодом,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выявленных финансовых нарушений за последние 2 (два) года,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бюджетных средств, охваченных контролем от общего объема бюджетных средств, выделенных за последние два года,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 финансовых нарушений, выявленных предыдущим контролем к объему расходов соответствующего периода, в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последней комплексной проверки, год</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оценки эффективности деятельности центральных государственных органов по достижению целей и показателей бюджетных программ, в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r>
              <w:br/>
            </w:r>
            <w:r>
              <w:rPr>
                <w:rFonts w:ascii="Times New Roman"/>
                <w:b w:val="false"/>
                <w:i w:val="false"/>
                <w:color w:val="000000"/>
                <w:sz w:val="20"/>
              </w:rPr>
              <w:t xml:space="preserve"> некоторых </w:t>
            </w:r>
            <w:r>
              <w:br/>
            </w:r>
            <w:r>
              <w:rPr>
                <w:rFonts w:ascii="Times New Roman"/>
                <w:b w:val="false"/>
                <w:i w:val="false"/>
                <w:color w:val="000000"/>
                <w:sz w:val="20"/>
              </w:rPr>
              <w:t xml:space="preserve">приказов Министерства </w:t>
            </w:r>
            <w:r>
              <w:br/>
            </w:r>
            <w:r>
              <w:rPr>
                <w:rFonts w:ascii="Times New Roman"/>
                <w:b w:val="false"/>
                <w:i w:val="false"/>
                <w:color w:val="000000"/>
                <w:sz w:val="20"/>
              </w:rPr>
              <w:t>финансов</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w:t>
            </w:r>
            <w:r>
              <w:br/>
            </w:r>
            <w:r>
              <w:rPr>
                <w:rFonts w:ascii="Times New Roman"/>
                <w:b w:val="false"/>
                <w:i w:val="false"/>
                <w:color w:val="000000"/>
                <w:sz w:val="20"/>
              </w:rPr>
              <w:t>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процедурному стандарту</w:t>
            </w:r>
            <w:r>
              <w:br/>
            </w:r>
            <w:r>
              <w:rPr>
                <w:rFonts w:ascii="Times New Roman"/>
                <w:b w:val="false"/>
                <w:i w:val="false"/>
                <w:color w:val="000000"/>
                <w:sz w:val="20"/>
              </w:rPr>
              <w:t>внутреннего государственного</w:t>
            </w:r>
            <w:r>
              <w:br/>
            </w:r>
            <w:r>
              <w:rPr>
                <w:rFonts w:ascii="Times New Roman"/>
                <w:b w:val="false"/>
                <w:i w:val="false"/>
                <w:color w:val="000000"/>
                <w:sz w:val="20"/>
              </w:rPr>
              <w:t>аудита и финансового контроля</w:t>
            </w:r>
            <w:r>
              <w:br/>
            </w:r>
            <w:r>
              <w:rPr>
                <w:rFonts w:ascii="Times New Roman"/>
                <w:b w:val="false"/>
                <w:i w:val="false"/>
                <w:color w:val="000000"/>
                <w:sz w:val="20"/>
              </w:rPr>
              <w:t>"Оценка эффективности</w:t>
            </w:r>
            <w:r>
              <w:br/>
            </w:r>
            <w:r>
              <w:rPr>
                <w:rFonts w:ascii="Times New Roman"/>
                <w:b w:val="false"/>
                <w:i w:val="false"/>
                <w:color w:val="000000"/>
                <w:sz w:val="20"/>
              </w:rPr>
              <w:t>деятельности служб</w:t>
            </w:r>
            <w:r>
              <w:br/>
            </w:r>
            <w:r>
              <w:rPr>
                <w:rFonts w:ascii="Times New Roman"/>
                <w:b w:val="false"/>
                <w:i w:val="false"/>
                <w:color w:val="000000"/>
                <w:sz w:val="20"/>
              </w:rPr>
              <w:t>внутреннего аудита"</w:t>
            </w:r>
          </w:p>
        </w:tc>
      </w:tr>
    </w:tbl>
    <w:bookmarkStart w:name="z59" w:id="39"/>
    <w:p>
      <w:pPr>
        <w:spacing w:after="0"/>
        <w:ind w:left="0"/>
        <w:jc w:val="left"/>
      </w:pPr>
      <w:r>
        <w:rPr>
          <w:rFonts w:ascii="Times New Roman"/>
          <w:b/>
          <w:i w:val="false"/>
          <w:color w:val="000000"/>
        </w:rPr>
        <w:t xml:space="preserve"> Модель риск-ориентированного отбора служб внутреннего аудита</w:t>
      </w:r>
    </w:p>
    <w:bookmarkEnd w:id="39"/>
    <w:bookmarkStart w:name="z60" w:id="40"/>
    <w:p>
      <w:pPr>
        <w:spacing w:after="0"/>
        <w:ind w:left="0"/>
        <w:jc w:val="both"/>
      </w:pPr>
      <w:r>
        <w:rPr>
          <w:rFonts w:ascii="Times New Roman"/>
          <w:b w:val="false"/>
          <w:i w:val="false"/>
          <w:color w:val="000000"/>
          <w:sz w:val="28"/>
        </w:rPr>
        <w:t>
      Система разработана с целью обеспечения единых подходов к отбору служб внутреннего аудита (далее – СВА) при планировании оценок уполномоченного органа внутреннего государственного аудита.</w:t>
      </w:r>
    </w:p>
    <w:bookmarkEnd w:id="40"/>
    <w:bookmarkStart w:name="z61" w:id="41"/>
    <w:p>
      <w:pPr>
        <w:spacing w:after="0"/>
        <w:ind w:left="0"/>
        <w:jc w:val="both"/>
      </w:pPr>
      <w:r>
        <w:rPr>
          <w:rFonts w:ascii="Times New Roman"/>
          <w:b w:val="false"/>
          <w:i w:val="false"/>
          <w:color w:val="000000"/>
          <w:sz w:val="28"/>
        </w:rPr>
        <w:t>
      Процедура риск ориентированного отбора оценки СВА базируется на анализе и оценки рисков с целью отбора служб с наивысшими рисками в их деятельности при формировании планов работы уполномоченного органа в части проведения оценок уполномоченного органа внутреннего государственного аудита (далее – планы).</w:t>
      </w:r>
    </w:p>
    <w:bookmarkEnd w:id="41"/>
    <w:bookmarkStart w:name="z62" w:id="42"/>
    <w:p>
      <w:pPr>
        <w:spacing w:after="0"/>
        <w:ind w:left="0"/>
        <w:jc w:val="both"/>
      </w:pPr>
      <w:r>
        <w:rPr>
          <w:rFonts w:ascii="Times New Roman"/>
          <w:b w:val="false"/>
          <w:i w:val="false"/>
          <w:color w:val="000000"/>
          <w:sz w:val="28"/>
        </w:rPr>
        <w:t>
      Оценка рисков осуществляется по двум основным показателям: степенью риска, которая определяется отдельно по каждой СВА по конкретным индикаторам (критериям) измерения рисков, и уровнем существенности риска, являющаяся постоянной величиной (таблица), и устанавливает шкалу приоритетности самих рисков.</w:t>
      </w:r>
    </w:p>
    <w:bookmarkEnd w:id="42"/>
    <w:bookmarkStart w:name="z63" w:id="43"/>
    <w:p>
      <w:pPr>
        <w:spacing w:after="0"/>
        <w:ind w:left="0"/>
        <w:jc w:val="both"/>
      </w:pPr>
      <w:r>
        <w:rPr>
          <w:rFonts w:ascii="Times New Roman"/>
          <w:b w:val="false"/>
          <w:i w:val="false"/>
          <w:color w:val="000000"/>
          <w:sz w:val="28"/>
        </w:rPr>
        <w:t>
      В пределах этой модели степень риска оцениваются по трехуровневой шкале: низкий, средний и высокий. При этом ввиду того, что существенность является постоянной, определенной величиной, фактически каждый объект оценки оценивается по степени риска.</w:t>
      </w:r>
    </w:p>
    <w:bookmarkEnd w:id="43"/>
    <w:bookmarkStart w:name="z64" w:id="44"/>
    <w:p>
      <w:pPr>
        <w:spacing w:after="0"/>
        <w:ind w:left="0"/>
        <w:jc w:val="both"/>
      </w:pPr>
      <w:r>
        <w:rPr>
          <w:rFonts w:ascii="Times New Roman"/>
          <w:b w:val="false"/>
          <w:i w:val="false"/>
          <w:color w:val="000000"/>
          <w:sz w:val="28"/>
        </w:rPr>
        <w:t>
      Общая сумма баллов определяется по формуле:</w:t>
      </w:r>
    </w:p>
    <w:bookmarkEnd w:id="44"/>
    <w:bookmarkStart w:name="z65" w:id="45"/>
    <w:p>
      <w:pPr>
        <w:spacing w:after="0"/>
        <w:ind w:left="0"/>
        <w:jc w:val="both"/>
      </w:pPr>
      <w:r>
        <w:rPr>
          <w:rFonts w:ascii="Times New Roman"/>
          <w:b w:val="false"/>
          <w:i w:val="false"/>
          <w:color w:val="000000"/>
          <w:sz w:val="28"/>
        </w:rPr>
        <w:t>
      Rсум = (R1 + R2 + R3 + R 4) х 3 + (R5 +...+ R9) х 2 + (R10 +...+ R13) х 1, где</w:t>
      </w:r>
    </w:p>
    <w:bookmarkEnd w:id="45"/>
    <w:bookmarkStart w:name="z66" w:id="46"/>
    <w:p>
      <w:pPr>
        <w:spacing w:after="0"/>
        <w:ind w:left="0"/>
        <w:jc w:val="both"/>
      </w:pPr>
      <w:r>
        <w:rPr>
          <w:rFonts w:ascii="Times New Roman"/>
          <w:b w:val="false"/>
          <w:i w:val="false"/>
          <w:color w:val="000000"/>
          <w:sz w:val="28"/>
        </w:rPr>
        <w:t>
      Rсум – суммарная бальная оценка каждого подконтрольного субъекта;</w:t>
      </w:r>
    </w:p>
    <w:bookmarkEnd w:id="46"/>
    <w:bookmarkStart w:name="z67" w:id="47"/>
    <w:p>
      <w:pPr>
        <w:spacing w:after="0"/>
        <w:ind w:left="0"/>
        <w:jc w:val="both"/>
      </w:pPr>
      <w:r>
        <w:rPr>
          <w:rFonts w:ascii="Times New Roman"/>
          <w:b w:val="false"/>
          <w:i w:val="false"/>
          <w:color w:val="000000"/>
          <w:sz w:val="28"/>
        </w:rPr>
        <w:t>
      R1-13 – оценка каждого конкретного риска по шкале от 1 до 3, умноженная на балл соответствующего уровня существенности этого риска согласно Таблице.</w:t>
      </w:r>
    </w:p>
    <w:bookmarkEnd w:id="47"/>
    <w:bookmarkStart w:name="z68" w:id="48"/>
    <w:p>
      <w:pPr>
        <w:spacing w:after="0"/>
        <w:ind w:left="0"/>
        <w:jc w:val="both"/>
      </w:pPr>
      <w:r>
        <w:rPr>
          <w:rFonts w:ascii="Times New Roman"/>
          <w:b w:val="false"/>
          <w:i w:val="false"/>
          <w:color w:val="000000"/>
          <w:sz w:val="28"/>
        </w:rPr>
        <w:t>
      По уровню их существенности риски распределяются на:</w:t>
      </w:r>
    </w:p>
    <w:bookmarkEnd w:id="48"/>
    <w:bookmarkStart w:name="z69" w:id="49"/>
    <w:p>
      <w:pPr>
        <w:spacing w:after="0"/>
        <w:ind w:left="0"/>
        <w:jc w:val="both"/>
      </w:pPr>
      <w:r>
        <w:rPr>
          <w:rFonts w:ascii="Times New Roman"/>
          <w:b w:val="false"/>
          <w:i w:val="false"/>
          <w:color w:val="000000"/>
          <w:sz w:val="28"/>
        </w:rPr>
        <w:t>
      высокий (3 балла) – системные и финансовые риски, которые характеризуют деятельность объекта оценки – в целом и влияние СВА на ее результаты – в частности;</w:t>
      </w:r>
    </w:p>
    <w:bookmarkEnd w:id="49"/>
    <w:bookmarkStart w:name="z70" w:id="50"/>
    <w:p>
      <w:pPr>
        <w:spacing w:after="0"/>
        <w:ind w:left="0"/>
        <w:jc w:val="both"/>
      </w:pPr>
      <w:r>
        <w:rPr>
          <w:rFonts w:ascii="Times New Roman"/>
          <w:b w:val="false"/>
          <w:i w:val="false"/>
          <w:color w:val="000000"/>
          <w:sz w:val="28"/>
        </w:rPr>
        <w:t>
      средний (2 балла) – организационные риски;</w:t>
      </w:r>
    </w:p>
    <w:bookmarkEnd w:id="50"/>
    <w:bookmarkStart w:name="z71" w:id="51"/>
    <w:p>
      <w:pPr>
        <w:spacing w:after="0"/>
        <w:ind w:left="0"/>
        <w:jc w:val="both"/>
      </w:pPr>
      <w:r>
        <w:rPr>
          <w:rFonts w:ascii="Times New Roman"/>
          <w:b w:val="false"/>
          <w:i w:val="false"/>
          <w:color w:val="000000"/>
          <w:sz w:val="28"/>
        </w:rPr>
        <w:t>
      низкий (1 балл) – функциональные риски (риски аудиторского процесса).</w:t>
      </w:r>
    </w:p>
    <w:bookmarkEnd w:id="51"/>
    <w:bookmarkStart w:name="z72" w:id="52"/>
    <w:p>
      <w:pPr>
        <w:spacing w:after="0"/>
        <w:ind w:left="0"/>
        <w:jc w:val="both"/>
      </w:pPr>
      <w:r>
        <w:rPr>
          <w:rFonts w:ascii="Times New Roman"/>
          <w:b w:val="false"/>
          <w:i w:val="false"/>
          <w:color w:val="000000"/>
          <w:sz w:val="28"/>
        </w:rPr>
        <w:t>
      Группа системных рисков определяется по результатам анализа внешней информации о подконтрольном субъекте, а именно институционной и функциональной нормативной правовой среды, финансово-экономических показателей, результатов внешнего контроля (контрольных мероприятий органов других контролирующих органов), а также с учетом обращений, жалоб, информации в средствах массовой информаций и другие. Они характеризуют эффективность деятельности СВА с точки зрения ее влияния на общегосударственные результаты деятельности объекта оценки и имеют наивысший приоритет.</w:t>
      </w:r>
    </w:p>
    <w:bookmarkEnd w:id="52"/>
    <w:bookmarkStart w:name="z73" w:id="53"/>
    <w:p>
      <w:pPr>
        <w:spacing w:after="0"/>
        <w:ind w:left="0"/>
        <w:jc w:val="both"/>
      </w:pPr>
      <w:r>
        <w:rPr>
          <w:rFonts w:ascii="Times New Roman"/>
          <w:b w:val="false"/>
          <w:i w:val="false"/>
          <w:color w:val="000000"/>
          <w:sz w:val="28"/>
        </w:rPr>
        <w:t>
      Группа организационных рисков определяется путем анализа и мониторинга организационно-правовых основ функционирования СВА объекта оценки и его кадрового обеспечения. Они характеризуют отношение руководства государственного органа к проблеме организации внутреннего контроля и внутреннего государственного аудита в системе соответствующего органа, осознание ими собственной персональной ответственности за состояние финансово-бюджетной дисциплины в отрасли.</w:t>
      </w:r>
    </w:p>
    <w:bookmarkEnd w:id="53"/>
    <w:bookmarkStart w:name="z74" w:id="54"/>
    <w:p>
      <w:pPr>
        <w:spacing w:after="0"/>
        <w:ind w:left="0"/>
        <w:jc w:val="both"/>
      </w:pPr>
      <w:r>
        <w:rPr>
          <w:rFonts w:ascii="Times New Roman"/>
          <w:b w:val="false"/>
          <w:i w:val="false"/>
          <w:color w:val="000000"/>
          <w:sz w:val="28"/>
        </w:rPr>
        <w:t>
      Группа функциональных рисков определяется путем постоянного камерального мониторинга деятельности СВА на основании обобщения и анализа периодической отчетности о результатах деятельности СВА, согласования планов их деятельности, деловой переписки и личного общения. Они характеризуют все основные аспекты деятельности СВА, соблюдение руководителями и работниками СВА требований нормативных правовых актов по этому вопросу.</w:t>
      </w:r>
    </w:p>
    <w:bookmarkEnd w:id="54"/>
    <w:bookmarkStart w:name="z75" w:id="55"/>
    <w:p>
      <w:pPr>
        <w:spacing w:after="0"/>
        <w:ind w:left="0"/>
        <w:jc w:val="both"/>
      </w:pPr>
      <w:r>
        <w:rPr>
          <w:rFonts w:ascii="Times New Roman"/>
          <w:b w:val="false"/>
          <w:i w:val="false"/>
          <w:color w:val="000000"/>
          <w:sz w:val="28"/>
        </w:rPr>
        <w:t>
      При планировании учитываются показатели по результатам деятельности объектов оценки за трех - пяти предыдущих лет (по суммарными показателям отчетности и/или по состоянию на соответствующую дату (даты) отчетного периода в зависимости от риска).</w:t>
      </w:r>
    </w:p>
    <w:bookmarkEnd w:id="55"/>
    <w:bookmarkStart w:name="z76" w:id="56"/>
    <w:p>
      <w:pPr>
        <w:spacing w:after="0"/>
        <w:ind w:left="0"/>
        <w:jc w:val="both"/>
      </w:pPr>
      <w:r>
        <w:rPr>
          <w:rFonts w:ascii="Times New Roman"/>
          <w:b w:val="false"/>
          <w:i w:val="false"/>
          <w:color w:val="000000"/>
          <w:sz w:val="28"/>
        </w:rPr>
        <w:t>
      Перечень рисков, приведенных в Таблице, перечисляет наиболее распространенные риски. Перечень рисков подлежит постоянному (не менее одного раза в год) пересмотру и обновлению.</w:t>
      </w:r>
    </w:p>
    <w:bookmarkEnd w:id="56"/>
    <w:bookmarkStart w:name="z77" w:id="57"/>
    <w:p>
      <w:pPr>
        <w:spacing w:after="0"/>
        <w:ind w:left="0"/>
        <w:jc w:val="both"/>
      </w:pPr>
      <w:r>
        <w:rPr>
          <w:rFonts w:ascii="Times New Roman"/>
          <w:b w:val="false"/>
          <w:i w:val="false"/>
          <w:color w:val="000000"/>
          <w:sz w:val="28"/>
        </w:rPr>
        <w:t>
      В процессе отбора объектов оценки к плану по каждому из них путем оценки по всем, приведенным в Таблице, рискам определяется общая сумма баллов.</w:t>
      </w:r>
    </w:p>
    <w:bookmarkEnd w:id="57"/>
    <w:bookmarkStart w:name="z78" w:id="58"/>
    <w:p>
      <w:pPr>
        <w:spacing w:after="0"/>
        <w:ind w:left="0"/>
        <w:jc w:val="both"/>
      </w:pPr>
      <w:r>
        <w:rPr>
          <w:rFonts w:ascii="Times New Roman"/>
          <w:b w:val="false"/>
          <w:i w:val="false"/>
          <w:color w:val="000000"/>
          <w:sz w:val="28"/>
        </w:rPr>
        <w:t>
      Объекты оценки, набравшие максимальное количество баллов, являются наиболее приоритетными при осуществлении процесса отбора объектов к плану. При этом, при одинаковой сумме баллов преимущество для включения к плану предоставляется тому объекту, где количество рисков высокой степени является наибольшим.</w:t>
      </w:r>
    </w:p>
    <w:bookmarkEnd w:id="58"/>
    <w:bookmarkStart w:name="z79" w:id="59"/>
    <w:p>
      <w:pPr>
        <w:spacing w:after="0"/>
        <w:ind w:left="0"/>
        <w:jc w:val="both"/>
      </w:pPr>
      <w:r>
        <w:rPr>
          <w:rFonts w:ascii="Times New Roman"/>
          <w:b w:val="false"/>
          <w:i w:val="false"/>
          <w:color w:val="000000"/>
          <w:sz w:val="28"/>
        </w:rPr>
        <w:t>
      После процедуры оценки перечень объектов оценки, отобранных к плану, корректируется с учетом необходимости обеспечения установленной периодичности проведения оценок уполномоченного органа качества.</w:t>
      </w:r>
    </w:p>
    <w:bookmarkEnd w:id="59"/>
    <w:p>
      <w:pPr>
        <w:spacing w:after="0"/>
        <w:ind w:left="0"/>
        <w:jc w:val="both"/>
      </w:pPr>
      <w:bookmarkStart w:name="z80" w:id="60"/>
      <w:r>
        <w:rPr>
          <w:rFonts w:ascii="Times New Roman"/>
          <w:b w:val="false"/>
          <w:i w:val="false"/>
          <w:color w:val="000000"/>
          <w:sz w:val="28"/>
        </w:rPr>
        <w:t>
      Таблица</w:t>
      </w:r>
    </w:p>
    <w:bookmarkEnd w:id="60"/>
    <w:p>
      <w:pPr>
        <w:spacing w:after="0"/>
        <w:ind w:left="0"/>
        <w:jc w:val="both"/>
      </w:pPr>
      <w:r>
        <w:rPr>
          <w:rFonts w:ascii="Times New Roman"/>
          <w:b w:val="false"/>
          <w:i w:val="false"/>
          <w:color w:val="000000"/>
          <w:sz w:val="28"/>
        </w:rPr>
        <w:t>І УРОВЕНЬ СУЩЕСТВЕННОСТИ (3 балла)</w:t>
      </w:r>
    </w:p>
    <w:p>
      <w:pPr>
        <w:spacing w:after="0"/>
        <w:ind w:left="0"/>
        <w:jc w:val="both"/>
      </w:pPr>
      <w:r>
        <w:rPr>
          <w:rFonts w:ascii="Times New Roman"/>
          <w:b w:val="false"/>
          <w:i w:val="false"/>
          <w:color w:val="000000"/>
          <w:sz w:val="28"/>
        </w:rPr>
        <w:t>Системные и финансовые риски</w:t>
      </w:r>
    </w:p>
    <w:bookmarkStart w:name="z81" w:id="61"/>
    <w:p>
      <w:pPr>
        <w:spacing w:after="0"/>
        <w:ind w:left="0"/>
        <w:jc w:val="both"/>
      </w:pPr>
      <w:r>
        <w:rPr>
          <w:rFonts w:ascii="Times New Roman"/>
          <w:b w:val="false"/>
          <w:i w:val="false"/>
          <w:color w:val="000000"/>
          <w:sz w:val="28"/>
        </w:rPr>
        <w:t>
      Риск 1 (R1)</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Организационная структура, численность подконтрольного субъекта, объем ресурсов, в том числе бюджетных назначений, количество функциональных направлений деятельности, бюджетных программ Показатель определяется на момент оценки и учитывает информацию за последние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государственного сектора со сложной структурой, большой подконтрольной сферой, объемом ресурсов, бюджетных назначений, количеством функциональных направлений деятельности, бюджетных программ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государственного сектора со средним уровнем объема ресурсов, бюджетных назначений, количеством функциональных направлений деятельности, бюджетных программ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государственного сектора с незначительной численностью и подконтрольной сферой, уровнем объема ресурсов, бюджетных назначений, количеством функциональных направлений деятельности, бюджетных программ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2" w:id="62"/>
    <w:p>
      <w:pPr>
        <w:spacing w:after="0"/>
        <w:ind w:left="0"/>
        <w:jc w:val="both"/>
      </w:pPr>
      <w:r>
        <w:rPr>
          <w:rFonts w:ascii="Times New Roman"/>
          <w:b w:val="false"/>
          <w:i w:val="false"/>
          <w:color w:val="000000"/>
          <w:sz w:val="28"/>
        </w:rPr>
        <w:t>
      Риск 2 (R2)</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структура, существенность и динамика нарушений, выявленных органами государственного аудита в государственном органе, его территориальных подразделениях, подведомственных организациях, в том числе в соотношении с результатами деятельности его СВА При исчислении показателя учитывается информация за последние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Выявление органами государственного аудита в государственном органе, его территориальных подразделениях, подведомственных организациях: существенных сумм нарушений в соотношении с объемами ресурсов, в том числе бюджетных назначений и открытых ассигнований; масштабных схем злоупотреблений; наличия в общей структуре выявленных нарушений существенного количества нарушений, которые стали причиной не эффективного, необоснованного использования бюджетных средств, стабильности динамики увеличения объемов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уровень нарушений, наличие отдельных факторов из определенных в "высоком" критерии этого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Несущественные нарушения, отсутствие факторов, определенных на "высоком" и "низком" критериях этого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3" w:id="63"/>
    <w:p>
      <w:pPr>
        <w:spacing w:after="0"/>
        <w:ind w:left="0"/>
        <w:jc w:val="both"/>
      </w:pPr>
      <w:r>
        <w:rPr>
          <w:rFonts w:ascii="Times New Roman"/>
          <w:b w:val="false"/>
          <w:i w:val="false"/>
          <w:color w:val="000000"/>
          <w:sz w:val="28"/>
        </w:rPr>
        <w:t>
      Риск 3 (R3)</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обращений, жалоб, информации правоохранительных и контролирующих органов, критических замечаний Правительства, негативных фактов, изложенных в СМИ и другие При определении показателя учитывается информация за последние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более чем 2 таких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1-2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таких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4" w:id="64"/>
    <w:p>
      <w:pPr>
        <w:spacing w:after="0"/>
        <w:ind w:left="0"/>
        <w:jc w:val="both"/>
      </w:pPr>
      <w:r>
        <w:rPr>
          <w:rFonts w:ascii="Times New Roman"/>
          <w:b w:val="false"/>
          <w:i w:val="false"/>
          <w:color w:val="000000"/>
          <w:sz w:val="28"/>
        </w:rPr>
        <w:t>
      Риск 4 (R4)</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оценки уполномоченного органа Показатель определяется на момент оценки и учитывает информацию за последние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Негативная оценка по большинству компонентов; установлено факты недостоверности оценки СВА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Негативная оценка по отдельным компонентам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Высокая и достоверная оценка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5" w:id="65"/>
    <w:p>
      <w:pPr>
        <w:spacing w:after="0"/>
        <w:ind w:left="0"/>
        <w:jc w:val="both"/>
      </w:pPr>
      <w:r>
        <w:rPr>
          <w:rFonts w:ascii="Times New Roman"/>
          <w:b w:val="false"/>
          <w:i w:val="false"/>
          <w:color w:val="000000"/>
          <w:sz w:val="28"/>
        </w:rPr>
        <w:t>
      ІІ УРОВЕНЬ СУЩЕСТВЕННОСТИ (2 балла)</w:t>
      </w:r>
    </w:p>
    <w:bookmarkEnd w:id="65"/>
    <w:bookmarkStart w:name="z86" w:id="66"/>
    <w:p>
      <w:pPr>
        <w:spacing w:after="0"/>
        <w:ind w:left="0"/>
        <w:jc w:val="both"/>
      </w:pPr>
      <w:r>
        <w:rPr>
          <w:rFonts w:ascii="Times New Roman"/>
          <w:b w:val="false"/>
          <w:i w:val="false"/>
          <w:color w:val="000000"/>
          <w:sz w:val="28"/>
        </w:rPr>
        <w:t>
      Организационные риски</w:t>
      </w:r>
    </w:p>
    <w:bookmarkEnd w:id="66"/>
    <w:bookmarkStart w:name="z87" w:id="67"/>
    <w:p>
      <w:pPr>
        <w:spacing w:after="0"/>
        <w:ind w:left="0"/>
        <w:jc w:val="both"/>
      </w:pPr>
      <w:r>
        <w:rPr>
          <w:rFonts w:ascii="Times New Roman"/>
          <w:b w:val="false"/>
          <w:i w:val="false"/>
          <w:color w:val="000000"/>
          <w:sz w:val="28"/>
        </w:rPr>
        <w:t>
      Риск 5 (R5)</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структура и численность СВА в соотношении со статусом и структурой государственного органа, его подконтрольной сети; необоснованные сокращения численности СВА Показатель определяется по последнему на момент оценки отчету и учитывает данные камерального мониторинга изменений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 исходя из его численности и статуса, вообще не влияет на состояние финансово-бюджетной дисциплины в отрасли; наличие фактов необоснованного сокращения численности СВА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службы не обеспечивает такого соотношения или его статус или структура неадекватны масштабам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службы в пределах соотношения (1 аудитор – 10 подконтрольных организаций/10 бюджетных программ, функций органа) при надлежащем статусе и структуре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8" w:id="68"/>
    <w:p>
      <w:pPr>
        <w:spacing w:after="0"/>
        <w:ind w:left="0"/>
        <w:jc w:val="both"/>
      </w:pPr>
      <w:r>
        <w:rPr>
          <w:rFonts w:ascii="Times New Roman"/>
          <w:b w:val="false"/>
          <w:i w:val="false"/>
          <w:color w:val="000000"/>
          <w:sz w:val="28"/>
        </w:rPr>
        <w:t>
      Риск 6 (R6)</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организационной и функциональной независимости СВА Показатель определяется на момент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большинства из перечисленных недостатков: Несамостоятельность СВА; Искусственное объединение с другими несовместимыми функциями; Загруженность нехарактерными для подразделения функциями; Наличие фактов вмешательства третьих лиц в деятельность подразделения; Непрямое подчинение руководителю подконтрольного субъекта; Руководитель подразделения не имеет прямого доступа к руководителю подконтрольного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единичных фактов из тех, что приведены в "высоком" критерии этого риска, к тому же таких, которые не создают особой угрозы для организационной и функциональной независимости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соответствие требованиям нормативных правовых актов по этим вопросам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9" w:id="69"/>
    <w:p>
      <w:pPr>
        <w:spacing w:after="0"/>
        <w:ind w:left="0"/>
        <w:jc w:val="both"/>
      </w:pPr>
      <w:r>
        <w:rPr>
          <w:rFonts w:ascii="Times New Roman"/>
          <w:b w:val="false"/>
          <w:i w:val="false"/>
          <w:color w:val="000000"/>
          <w:sz w:val="28"/>
        </w:rPr>
        <w:t>
      Риск 7 (R7)</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зрелости службы (когда создано), стабильность кадровой политики, укомплектованность подразделений, соответствие персонала квалификационным требованиям Показатель определяется на момент оценки и учитывает информацию за последние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большинства из перечисленных аспектов: СВА создано недавно; Частая смена руководства подразделения; Игнорирование квалификационных требований к персоналу; Незначительный стаж работы по специальности руководителя подразделения и персонала; Значительная недоукомплектованность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лишь отдельных аспектов из числа приведенных в "высоком" критерии этого риска, к тому же таких, которые существенно не влияют на качество реализации функции СВА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таких аспектов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0" w:id="70"/>
    <w:p>
      <w:pPr>
        <w:spacing w:after="0"/>
        <w:ind w:left="0"/>
        <w:jc w:val="both"/>
      </w:pPr>
      <w:r>
        <w:rPr>
          <w:rFonts w:ascii="Times New Roman"/>
          <w:b w:val="false"/>
          <w:i w:val="false"/>
          <w:color w:val="000000"/>
          <w:sz w:val="28"/>
        </w:rPr>
        <w:t>
      Риск 8 (R8)</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утвержденной руководством программы обеспечения и повышения качества внутреннего государственного аудита; ее невыполнение Не проведение периодических оценок СВА Показатель определяется на момент оценки и учитывает информацию за последние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Программы и не проведение периодических оценок СВА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программе есть недостатки или она не утверждена руководителем подконтрольного субъекта; оценки СВА проводятся редко и/или формально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Этот участок работы вполне соответствует требованиям нормативных правовых актов по этим вопросам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1" w:id="71"/>
    <w:p>
      <w:pPr>
        <w:spacing w:after="0"/>
        <w:ind w:left="0"/>
        <w:jc w:val="both"/>
      </w:pPr>
      <w:r>
        <w:rPr>
          <w:rFonts w:ascii="Times New Roman"/>
          <w:b w:val="false"/>
          <w:i w:val="false"/>
          <w:color w:val="000000"/>
          <w:sz w:val="28"/>
        </w:rPr>
        <w:t>
      Риск 9 (R9)</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Ненадлежащее взаимодействие с уполномоченным органом, в том числе в части организации работы по реализации требований и рекомендаций, предоставленных уполномоченным органом по результатам проведенных оценок уполномоченного органа При определении показателя учитывается информация за последние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Систематическое игнорирование обращений/запросов уполномоченного органов; предоставление формальной, некачественной информации по запросам, в том числе касательно работы по реализации требований и рекомендаций, предоставленных уполномоченным органом по результатам проведенных в них оценок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Единичные случаи таких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таких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2" w:id="72"/>
    <w:p>
      <w:pPr>
        <w:spacing w:after="0"/>
        <w:ind w:left="0"/>
        <w:jc w:val="both"/>
      </w:pPr>
      <w:r>
        <w:rPr>
          <w:rFonts w:ascii="Times New Roman"/>
          <w:b w:val="false"/>
          <w:i w:val="false"/>
          <w:color w:val="000000"/>
          <w:sz w:val="28"/>
        </w:rPr>
        <w:t>
      ІІІ УРОВЕНЬ СУЩЕСТВЕННОСТИ (1 балл)</w:t>
      </w:r>
    </w:p>
    <w:bookmarkEnd w:id="72"/>
    <w:bookmarkStart w:name="z93" w:id="73"/>
    <w:p>
      <w:pPr>
        <w:spacing w:after="0"/>
        <w:ind w:left="0"/>
        <w:jc w:val="both"/>
      </w:pPr>
      <w:r>
        <w:rPr>
          <w:rFonts w:ascii="Times New Roman"/>
          <w:b w:val="false"/>
          <w:i w:val="false"/>
          <w:color w:val="000000"/>
          <w:sz w:val="28"/>
        </w:rPr>
        <w:t>
      Функциональные риски</w:t>
      </w:r>
    </w:p>
    <w:bookmarkEnd w:id="73"/>
    <w:bookmarkStart w:name="z94" w:id="74"/>
    <w:p>
      <w:pPr>
        <w:spacing w:after="0"/>
        <w:ind w:left="0"/>
        <w:jc w:val="both"/>
      </w:pPr>
      <w:r>
        <w:rPr>
          <w:rFonts w:ascii="Times New Roman"/>
          <w:b w:val="false"/>
          <w:i w:val="false"/>
          <w:color w:val="000000"/>
          <w:sz w:val="28"/>
        </w:rPr>
        <w:t>
      Риск 10 (R10)</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фактов несоответствия деятельности СВА требованиям законодательства Республики Казахстан и/или невыполнение должностными лицами требований Правил проведения внутреннего государственного аудита и финансового контроля службами внутреннего аудита, этического кодекса, других нормативных правовых документов по этим вопросам При определении показателя учитывается информация за последние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Существенное количество материалов аудита, признанных не соответствующими стандартам государственного аудита и финансового контроля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Единичные случаи нарушений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таких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5" w:id="75"/>
    <w:p>
      <w:pPr>
        <w:spacing w:after="0"/>
        <w:ind w:left="0"/>
        <w:jc w:val="both"/>
      </w:pPr>
      <w:r>
        <w:rPr>
          <w:rFonts w:ascii="Times New Roman"/>
          <w:b w:val="false"/>
          <w:i w:val="false"/>
          <w:color w:val="000000"/>
          <w:sz w:val="28"/>
        </w:rPr>
        <w:t>
      Риск 11 (R11)</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Некачественное планирование внутренних государственных аудитов; невыполнение планов При определении показателя учитывается информация за последние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применение системы управления рисками при формировании перечня объектов государственного аудита на соответствующий год Внесение частых необоснованных изменений в перечень объектов аудита и их не исполнение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единичных недостатков в планировании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таких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6" w:id="76"/>
    <w:p>
      <w:pPr>
        <w:spacing w:after="0"/>
        <w:ind w:left="0"/>
        <w:jc w:val="both"/>
      </w:pPr>
      <w:r>
        <w:rPr>
          <w:rFonts w:ascii="Times New Roman"/>
          <w:b w:val="false"/>
          <w:i w:val="false"/>
          <w:color w:val="000000"/>
          <w:sz w:val="28"/>
        </w:rPr>
        <w:t>
      Риск 12 (R12)</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снижения результативности работы; Низкое качество рекомендаций по результатам внутренних государственных аудитов; Отсутствие процедуры мониторинга их внедрения При определении показателя учитывается информация за последние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Стабильная и существенная динамика ухудшения результативности работы; низкое качество рекомендаций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Несущественные факты колебания показателей, низкая общая результативность работы; отдельные недостатки предоставляемых рекомендаций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Стабильно высокие показатели результативности работы; высокое качество рекомендаций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97" w:id="77"/>
    <w:p>
      <w:pPr>
        <w:spacing w:after="0"/>
        <w:ind w:left="0"/>
        <w:jc w:val="both"/>
      </w:pPr>
      <w:r>
        <w:rPr>
          <w:rFonts w:ascii="Times New Roman"/>
          <w:b w:val="false"/>
          <w:i w:val="false"/>
          <w:color w:val="000000"/>
          <w:sz w:val="28"/>
        </w:rPr>
        <w:t>
      Риск 13 (R13)</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Недостоверность информации, предоставляемой в уполномоченный орган При определении показателя учитывается информация за последние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Большое количество фактов недостоверности подаваемой в уполномоченный орган отчетности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Единичные факты недостоверности показателей предоставляемой отчетности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таких фактов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r>
              <w:br/>
            </w:r>
            <w:r>
              <w:rPr>
                <w:rFonts w:ascii="Times New Roman"/>
                <w:b w:val="false"/>
                <w:i w:val="false"/>
                <w:color w:val="000000"/>
                <w:sz w:val="20"/>
              </w:rPr>
              <w:t xml:space="preserve">некоторых </w:t>
            </w:r>
            <w:r>
              <w:br/>
            </w:r>
            <w:r>
              <w:rPr>
                <w:rFonts w:ascii="Times New Roman"/>
                <w:b w:val="false"/>
                <w:i w:val="false"/>
                <w:color w:val="000000"/>
                <w:sz w:val="20"/>
              </w:rPr>
              <w:t xml:space="preserve">приказов Министерства </w:t>
            </w:r>
            <w:r>
              <w:br/>
            </w:r>
            <w:r>
              <w:rPr>
                <w:rFonts w:ascii="Times New Roman"/>
                <w:b w:val="false"/>
                <w:i w:val="false"/>
                <w:color w:val="000000"/>
                <w:sz w:val="20"/>
              </w:rPr>
              <w:t>финансов</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w:t>
            </w:r>
            <w:r>
              <w:br/>
            </w:r>
            <w:r>
              <w:rPr>
                <w:rFonts w:ascii="Times New Roman"/>
                <w:b w:val="false"/>
                <w:i w:val="false"/>
                <w:color w:val="000000"/>
                <w:sz w:val="20"/>
              </w:rPr>
              <w:t xml:space="preserve">вносятся изменения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процедурному стандарту</w:t>
            </w:r>
            <w:r>
              <w:br/>
            </w:r>
            <w:r>
              <w:rPr>
                <w:rFonts w:ascii="Times New Roman"/>
                <w:b w:val="false"/>
                <w:i w:val="false"/>
                <w:color w:val="000000"/>
                <w:sz w:val="20"/>
              </w:rPr>
              <w:t>внутреннего государственного</w:t>
            </w:r>
            <w:r>
              <w:br/>
            </w:r>
            <w:r>
              <w:rPr>
                <w:rFonts w:ascii="Times New Roman"/>
                <w:b w:val="false"/>
                <w:i w:val="false"/>
                <w:color w:val="000000"/>
                <w:sz w:val="20"/>
              </w:rPr>
              <w:t>аудита и финансового контроля</w:t>
            </w:r>
            <w:r>
              <w:br/>
            </w:r>
            <w:r>
              <w:rPr>
                <w:rFonts w:ascii="Times New Roman"/>
                <w:b w:val="false"/>
                <w:i w:val="false"/>
                <w:color w:val="000000"/>
                <w:sz w:val="20"/>
              </w:rPr>
              <w:t xml:space="preserve">"Оценка эффективности </w:t>
            </w:r>
            <w:r>
              <w:br/>
            </w:r>
            <w:r>
              <w:rPr>
                <w:rFonts w:ascii="Times New Roman"/>
                <w:b w:val="false"/>
                <w:i w:val="false"/>
                <w:color w:val="000000"/>
                <w:sz w:val="20"/>
              </w:rPr>
              <w:t>деятельности</w:t>
            </w:r>
            <w:r>
              <w:br/>
            </w:r>
            <w:r>
              <w:rPr>
                <w:rFonts w:ascii="Times New Roman"/>
                <w:b w:val="false"/>
                <w:i w:val="false"/>
                <w:color w:val="000000"/>
                <w:sz w:val="20"/>
              </w:rPr>
              <w:t>служб внутреннего аудита"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1" w:id="78"/>
    <w:p>
      <w:pPr>
        <w:spacing w:after="0"/>
        <w:ind w:left="0"/>
        <w:jc w:val="both"/>
      </w:pPr>
      <w:r>
        <w:rPr>
          <w:rFonts w:ascii="Times New Roman"/>
          <w:b w:val="false"/>
          <w:i w:val="false"/>
          <w:color w:val="000000"/>
          <w:sz w:val="28"/>
        </w:rPr>
        <w:t>
      Критерии оценки эффективности деятельности службы внутреннего аудита</w:t>
      </w:r>
    </w:p>
    <w:bookmarkEnd w:id="78"/>
    <w:bookmarkStart w:name="z102" w:id="79"/>
    <w:p>
      <w:pPr>
        <w:spacing w:after="0"/>
        <w:ind w:left="0"/>
        <w:jc w:val="both"/>
      </w:pPr>
      <w:r>
        <w:rPr>
          <w:rFonts w:ascii="Times New Roman"/>
          <w:b w:val="false"/>
          <w:i w:val="false"/>
          <w:color w:val="000000"/>
          <w:sz w:val="28"/>
        </w:rPr>
        <w:t>
      А. Оценка организационно-правовых основ функционирования службы внутреннего аудита (далее – СВА)</w:t>
      </w:r>
    </w:p>
    <w:bookmarkEnd w:id="79"/>
    <w:bookmarkStart w:name="z103" w:id="80"/>
    <w:p>
      <w:pPr>
        <w:spacing w:after="0"/>
        <w:ind w:left="0"/>
        <w:jc w:val="both"/>
      </w:pPr>
      <w:r>
        <w:rPr>
          <w:rFonts w:ascii="Times New Roman"/>
          <w:b w:val="false"/>
          <w:i w:val="false"/>
          <w:color w:val="000000"/>
          <w:sz w:val="28"/>
        </w:rPr>
        <w:t>
      A1. Взаимодействие руководителя СВА с руководителем государственного органа, в котором создана СВА</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Подчиняется ли СВА непосредственно руководителю государственного органа?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руководитель СВА членом коллегиального органа государственного органа?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Своевременно ли руководитель СВА получает информацию касательно всех организационных изменений, других ключевых вопросов в государственном органе?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Определены ли в Положении о СВА (других внутренних документах) взаимосвязь между руководителем государственного органа и руководителем СВА, задачи, полномочия и сферы ответственности службы?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Утверждено ли Положение о СВА руководителем государственного органа; регулярно ли оно пересматривается и должным образом уточняется?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Утверждает ли руководитель государственного органа перечень объектов внутреннего государственного аудита и процессов внутреннего государственного аудита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Отчитывается ли руководитель СВА напрямую руководителю государственного органа о результатах деятельности службы?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Предпринимает ли руководство государственного органа необходимые шаги для внедрения аудиторских рекомендаций?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04" w:id="81"/>
    <w:p>
      <w:pPr>
        <w:spacing w:after="0"/>
        <w:ind w:left="0"/>
        <w:jc w:val="both"/>
      </w:pPr>
      <w:r>
        <w:rPr>
          <w:rFonts w:ascii="Times New Roman"/>
          <w:b w:val="false"/>
          <w:i w:val="false"/>
          <w:color w:val="000000"/>
          <w:sz w:val="28"/>
        </w:rPr>
        <w:t>
      A2. Структура и численность СВА, его независимость</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состоянии ли структура и численность СВА обеспечить эффективность реализации функции внутреннего государственного аудита исходя из ее соотношения с количеством объектов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СВА самостоятельным структурным подразделением государственного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содержит ли Положение о СВА закрепленные за подразделением функции, которые несвойственны и/или несовместимы с деятельностью внутреннего государственного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выполняет ли фактически СВА или его отдельные работники функции, которые не свойственны и/или несовместимы с деятельностью внутреннего государственного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ли Положением или другими внутренними документами по вопросам деятельности внутреннего государственного аудита меры реагирования (защиты) государственных аудиторов от вмешательства третьих лиц в их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доказательства вмешательства третьих лиц в деятельность СВА?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Предусмотрены ли внутренними документами меры предупреждения конфликта интересов при выполнении отдельными аудиторами порученных им заданий?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на практике факты конфликта интересов и применяет ли руководитель СВА меры с целью исключения таких фактов?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05" w:id="82"/>
    <w:p>
      <w:pPr>
        <w:spacing w:after="0"/>
        <w:ind w:left="0"/>
        <w:jc w:val="both"/>
      </w:pPr>
      <w:r>
        <w:rPr>
          <w:rFonts w:ascii="Times New Roman"/>
          <w:b w:val="false"/>
          <w:i w:val="false"/>
          <w:color w:val="000000"/>
          <w:sz w:val="28"/>
        </w:rPr>
        <w:t>
      Определение уровня оценки (А1+А2):</w:t>
      </w:r>
    </w:p>
    <w:bookmarkEnd w:id="82"/>
    <w:bookmarkStart w:name="z106" w:id="83"/>
    <w:p>
      <w:pPr>
        <w:spacing w:after="0"/>
        <w:ind w:left="0"/>
        <w:jc w:val="both"/>
      </w:pPr>
      <w:r>
        <w:rPr>
          <w:rFonts w:ascii="Times New Roman"/>
          <w:b w:val="false"/>
          <w:i w:val="false"/>
          <w:color w:val="000000"/>
          <w:sz w:val="28"/>
        </w:rPr>
        <w:t>
      низкий – 0% – 19% включительно;</w:t>
      </w:r>
    </w:p>
    <w:bookmarkEnd w:id="83"/>
    <w:bookmarkStart w:name="z107" w:id="84"/>
    <w:p>
      <w:pPr>
        <w:spacing w:after="0"/>
        <w:ind w:left="0"/>
        <w:jc w:val="both"/>
      </w:pPr>
      <w:r>
        <w:rPr>
          <w:rFonts w:ascii="Times New Roman"/>
          <w:b w:val="false"/>
          <w:i w:val="false"/>
          <w:color w:val="000000"/>
          <w:sz w:val="28"/>
        </w:rPr>
        <w:t>
      ниже среднего – 20 – 39% включительно;</w:t>
      </w:r>
    </w:p>
    <w:bookmarkEnd w:id="84"/>
    <w:bookmarkStart w:name="z108" w:id="85"/>
    <w:p>
      <w:pPr>
        <w:spacing w:after="0"/>
        <w:ind w:left="0"/>
        <w:jc w:val="both"/>
      </w:pPr>
      <w:r>
        <w:rPr>
          <w:rFonts w:ascii="Times New Roman"/>
          <w:b w:val="false"/>
          <w:i w:val="false"/>
          <w:color w:val="000000"/>
          <w:sz w:val="28"/>
        </w:rPr>
        <w:t>
      средний – 40% – 59% включительно;</w:t>
      </w:r>
    </w:p>
    <w:bookmarkEnd w:id="85"/>
    <w:bookmarkStart w:name="z109" w:id="86"/>
    <w:p>
      <w:pPr>
        <w:spacing w:after="0"/>
        <w:ind w:left="0"/>
        <w:jc w:val="both"/>
      </w:pPr>
      <w:r>
        <w:rPr>
          <w:rFonts w:ascii="Times New Roman"/>
          <w:b w:val="false"/>
          <w:i w:val="false"/>
          <w:color w:val="000000"/>
          <w:sz w:val="28"/>
        </w:rPr>
        <w:t>
      выше среднего – 60 % – 79% включительно;</w:t>
      </w:r>
    </w:p>
    <w:bookmarkEnd w:id="86"/>
    <w:bookmarkStart w:name="z110" w:id="87"/>
    <w:p>
      <w:pPr>
        <w:spacing w:after="0"/>
        <w:ind w:left="0"/>
        <w:jc w:val="both"/>
      </w:pPr>
      <w:r>
        <w:rPr>
          <w:rFonts w:ascii="Times New Roman"/>
          <w:b w:val="false"/>
          <w:i w:val="false"/>
          <w:color w:val="000000"/>
          <w:sz w:val="28"/>
        </w:rPr>
        <w:t>
      высокий – 80% –100% включительно.</w:t>
      </w:r>
    </w:p>
    <w:bookmarkEnd w:id="87"/>
    <w:bookmarkStart w:name="z111" w:id="88"/>
    <w:p>
      <w:pPr>
        <w:spacing w:after="0"/>
        <w:ind w:left="0"/>
        <w:jc w:val="both"/>
      </w:pPr>
      <w:r>
        <w:rPr>
          <w:rFonts w:ascii="Times New Roman"/>
          <w:b w:val="false"/>
          <w:i w:val="false"/>
          <w:color w:val="000000"/>
          <w:sz w:val="28"/>
        </w:rPr>
        <w:t>
      Примечание:</w:t>
      </w:r>
    </w:p>
    <w:bookmarkEnd w:id="88"/>
    <w:bookmarkStart w:name="z112" w:id="89"/>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89"/>
    <w:bookmarkStart w:name="z113" w:id="90"/>
    <w:p>
      <w:pPr>
        <w:spacing w:after="0"/>
        <w:ind w:left="0"/>
        <w:jc w:val="both"/>
      </w:pPr>
      <w:r>
        <w:rPr>
          <w:rFonts w:ascii="Times New Roman"/>
          <w:b w:val="false"/>
          <w:i w:val="false"/>
          <w:color w:val="000000"/>
          <w:sz w:val="28"/>
        </w:rPr>
        <w:t>
      Результаты оценки организационно-правовых основ функционирования</w:t>
      </w:r>
    </w:p>
    <w:bookmarkEnd w:id="90"/>
    <w:bookmarkStart w:name="z114" w:id="91"/>
    <w:p>
      <w:pPr>
        <w:spacing w:after="0"/>
        <w:ind w:left="0"/>
        <w:jc w:val="both"/>
      </w:pPr>
      <w:r>
        <w:rPr>
          <w:rFonts w:ascii="Times New Roman"/>
          <w:b w:val="false"/>
          <w:i w:val="false"/>
          <w:color w:val="000000"/>
          <w:sz w:val="28"/>
        </w:rPr>
        <w:t>
      Результаты оценки организационно-правовых основ функционирования СВА (А1+А2)</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Руководство государственного органа формирует понимание относительно своей роли в обеспечении внутреннего контроля и внутреннего государственного аудита во вверенной отрасли. Имеющаяся структура и численность СВА не в состоянии обеспечить системный внутренний государственный аудит в отрасли и не влияет на состояние финансово-бюджетной дисциплины в 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Руководство государственного органа внедряет планы и делает отдельные шаги к обеспечению условий для эффективной реализации функции СВА. Однако имеющаяся структура и численность СВА в состоянии решать лишь отдельные узкие задачи и не влияет на систему в целом.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Руководство государственного органа создало условия, которые позволяют реализовать функцию СВА. В то же время существует ряд организационно-функциональных недостатков, которые ограничивают полноту ее реализации и развития.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Руководство государственного органа вполне осознает роль СВА и заинтересовано в получении вклада от внутреннего государственного аудита касательно достижения целей деятельности государственного органа, управления рисками, и контроля на всех уровнях. При этом в системе организации имеются резервы для развития функции службы внутреннего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 государственный аудит воспринимается руководством государственного органа как ключевой инструмент финансового контроля и управления в отрасли. СВА обеспечивает системный, качественный внутренний государственный аудит в системе организации, признана и эффективно задействована на стратегическом уровне.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bookmarkStart w:name="z115" w:id="92"/>
    <w:p>
      <w:pPr>
        <w:spacing w:after="0"/>
        <w:ind w:left="0"/>
        <w:jc w:val="both"/>
      </w:pPr>
      <w:r>
        <w:rPr>
          <w:rFonts w:ascii="Times New Roman"/>
          <w:b w:val="false"/>
          <w:i w:val="false"/>
          <w:color w:val="000000"/>
          <w:sz w:val="28"/>
        </w:rPr>
        <w:t>
      В. Оценка кадровой политики СВА</w:t>
      </w:r>
    </w:p>
    <w:bookmarkEnd w:id="92"/>
    <w:bookmarkStart w:name="z116" w:id="93"/>
    <w:p>
      <w:pPr>
        <w:spacing w:after="0"/>
        <w:ind w:left="0"/>
        <w:jc w:val="both"/>
      </w:pPr>
      <w:r>
        <w:rPr>
          <w:rFonts w:ascii="Times New Roman"/>
          <w:b w:val="false"/>
          <w:i w:val="false"/>
          <w:color w:val="000000"/>
          <w:sz w:val="28"/>
        </w:rPr>
        <w:t>
      В1. Оценка внутренней среды в государственном органе на предмет соблюдения требований Правил профессиональной этики государственных аудиторов СВА</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ли во внутренних документах требования по соблюдению Правил профессиональной этики государственных аудиторов?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ли работники СВА ознакомлены с основными положениями Правил профессиональной этики государственных аудиторов?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Соблюдают ли государственные аудиторы Правила профессиональной этики государственных аудиторов при выполнении своих обязанностей?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ли во внутренних документах порядок рассмотрения случаев несоблюдения работниками требований Правил профессиональной этики государственных аудиторов и реагирование на жалобы?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жалобы на действия работников СВА касательно нарушения ими требований Правил профессиональной этики государственных аудиторов при выполнении своих обязанностей?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Осуществляется ли (фиксируется документально) мониторинг фактов нарушения Правил профессиональной этики государственных аудиторов и принимаются ли решения в случае таких нарушений?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17" w:id="94"/>
    <w:p>
      <w:pPr>
        <w:spacing w:after="0"/>
        <w:ind w:left="0"/>
        <w:jc w:val="both"/>
      </w:pPr>
      <w:r>
        <w:rPr>
          <w:rFonts w:ascii="Times New Roman"/>
          <w:b w:val="false"/>
          <w:i w:val="false"/>
          <w:color w:val="000000"/>
          <w:sz w:val="28"/>
        </w:rPr>
        <w:t>
      В2. Уровень зрелости СВА, стабильность кадровой политики, укомплектованность</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Предусмотрены ли меры поощрения?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ли опыт работы, образование работников СВА квалификационным требованиям?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 ли подразделение укомплектовано, если нет, то имеется ли план мероприятий по укомплектованию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Привлекаются ли кадровые ресурсы к выполнению аудиторских заданий эффективно и пропорционально?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целях обеспечения более эффективного использования профессионального и управленческого опыта, меняется ли руководящий состав подразделения реже, чем раз в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18" w:id="95"/>
    <w:p>
      <w:pPr>
        <w:spacing w:after="0"/>
        <w:ind w:left="0"/>
        <w:jc w:val="both"/>
      </w:pPr>
      <w:r>
        <w:rPr>
          <w:rFonts w:ascii="Times New Roman"/>
          <w:b w:val="false"/>
          <w:i w:val="false"/>
          <w:color w:val="000000"/>
          <w:sz w:val="28"/>
        </w:rPr>
        <w:t>
      Определение уровня оценки (B1+B2):</w:t>
      </w:r>
    </w:p>
    <w:bookmarkEnd w:id="95"/>
    <w:bookmarkStart w:name="z119" w:id="96"/>
    <w:p>
      <w:pPr>
        <w:spacing w:after="0"/>
        <w:ind w:left="0"/>
        <w:jc w:val="both"/>
      </w:pPr>
      <w:r>
        <w:rPr>
          <w:rFonts w:ascii="Times New Roman"/>
          <w:b w:val="false"/>
          <w:i w:val="false"/>
          <w:color w:val="000000"/>
          <w:sz w:val="28"/>
        </w:rPr>
        <w:t>
      низкий – 0% – 19% включительно;</w:t>
      </w:r>
    </w:p>
    <w:bookmarkEnd w:id="96"/>
    <w:bookmarkStart w:name="z120" w:id="97"/>
    <w:p>
      <w:pPr>
        <w:spacing w:after="0"/>
        <w:ind w:left="0"/>
        <w:jc w:val="both"/>
      </w:pPr>
      <w:r>
        <w:rPr>
          <w:rFonts w:ascii="Times New Roman"/>
          <w:b w:val="false"/>
          <w:i w:val="false"/>
          <w:color w:val="000000"/>
          <w:sz w:val="28"/>
        </w:rPr>
        <w:t>
      ниже среднего – 20 – 39% включительно;</w:t>
      </w:r>
    </w:p>
    <w:bookmarkEnd w:id="97"/>
    <w:bookmarkStart w:name="z121" w:id="98"/>
    <w:p>
      <w:pPr>
        <w:spacing w:after="0"/>
        <w:ind w:left="0"/>
        <w:jc w:val="both"/>
      </w:pPr>
      <w:r>
        <w:rPr>
          <w:rFonts w:ascii="Times New Roman"/>
          <w:b w:val="false"/>
          <w:i w:val="false"/>
          <w:color w:val="000000"/>
          <w:sz w:val="28"/>
        </w:rPr>
        <w:t>
      средний – 40% – 59% включительно;</w:t>
      </w:r>
    </w:p>
    <w:bookmarkEnd w:id="98"/>
    <w:bookmarkStart w:name="z122" w:id="99"/>
    <w:p>
      <w:pPr>
        <w:spacing w:after="0"/>
        <w:ind w:left="0"/>
        <w:jc w:val="both"/>
      </w:pPr>
      <w:r>
        <w:rPr>
          <w:rFonts w:ascii="Times New Roman"/>
          <w:b w:val="false"/>
          <w:i w:val="false"/>
          <w:color w:val="000000"/>
          <w:sz w:val="28"/>
        </w:rPr>
        <w:t>
      выше среднего – 60 % – 79% включительно;</w:t>
      </w:r>
    </w:p>
    <w:bookmarkEnd w:id="99"/>
    <w:bookmarkStart w:name="z123" w:id="100"/>
    <w:p>
      <w:pPr>
        <w:spacing w:after="0"/>
        <w:ind w:left="0"/>
        <w:jc w:val="both"/>
      </w:pPr>
      <w:r>
        <w:rPr>
          <w:rFonts w:ascii="Times New Roman"/>
          <w:b w:val="false"/>
          <w:i w:val="false"/>
          <w:color w:val="000000"/>
          <w:sz w:val="28"/>
        </w:rPr>
        <w:t>
      высокий – 80% –100% включительно.</w:t>
      </w:r>
    </w:p>
    <w:bookmarkEnd w:id="100"/>
    <w:bookmarkStart w:name="z124" w:id="101"/>
    <w:p>
      <w:pPr>
        <w:spacing w:after="0"/>
        <w:ind w:left="0"/>
        <w:jc w:val="both"/>
      </w:pPr>
      <w:r>
        <w:rPr>
          <w:rFonts w:ascii="Times New Roman"/>
          <w:b w:val="false"/>
          <w:i w:val="false"/>
          <w:color w:val="000000"/>
          <w:sz w:val="28"/>
        </w:rPr>
        <w:t>
      Примечание:</w:t>
      </w:r>
    </w:p>
    <w:bookmarkEnd w:id="101"/>
    <w:bookmarkStart w:name="z125" w:id="102"/>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102"/>
    <w:bookmarkStart w:name="z126" w:id="103"/>
    <w:p>
      <w:pPr>
        <w:spacing w:after="0"/>
        <w:ind w:left="0"/>
        <w:jc w:val="both"/>
      </w:pPr>
      <w:r>
        <w:rPr>
          <w:rFonts w:ascii="Times New Roman"/>
          <w:b w:val="false"/>
          <w:i w:val="false"/>
          <w:color w:val="000000"/>
          <w:sz w:val="28"/>
        </w:rPr>
        <w:t>
      Результаты оценки кадровой политики СВА (В1+В2)</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Частая смена руководства и неукомплектованость кадрового состава СВА, непродуманная кадровая политика касательно привлечения и сохранения квалифицированных специалистов, отсутствие на регулярной основе повышения квалификации кадрового состава СВА мешают эффективной реализации и развитию функции внутреннего государственного аудита в системе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СВА не обеспечена кадровыми ресурсами в достаточном количестве, для реализации возложенных на нее заданий. Действующая кадровая политика не предусматривает перспектив развития функции СВА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Действующий кадровый состав СВА в состоянии поддерживать функцию СВА, выполнять задания руководства государственного органа. В тоже время для повышения эффективности функции СВА необходимо реализовать ряд мероприятий, направленных на усовершенствование кадровой политики.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 полностью укомплектовано квалифицированными кадрами для реализации функции СВА. Государственные аудиторы качественно выполняют свои обязанности, постоянно повышают знания и профессиональные навыки. При этом есть резервы развития кадрового состава СВА.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государственного органа внедрена стабильная и последовательная кадровая политика касательно отбора, поощрения, поддержки и эффективного использования кадрового состава СВА. Как следствие, кадровый состав эффективно и результативно реализует функцию СВА.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bookmarkStart w:name="z127" w:id="104"/>
    <w:p>
      <w:pPr>
        <w:spacing w:after="0"/>
        <w:ind w:left="0"/>
        <w:jc w:val="both"/>
      </w:pPr>
      <w:r>
        <w:rPr>
          <w:rFonts w:ascii="Times New Roman"/>
          <w:b w:val="false"/>
          <w:i w:val="false"/>
          <w:color w:val="000000"/>
          <w:sz w:val="28"/>
        </w:rPr>
        <w:t>
      С. Оценка правовой базы СВА</w:t>
      </w:r>
    </w:p>
    <w:bookmarkEnd w:id="104"/>
    <w:bookmarkStart w:name="z128" w:id="105"/>
    <w:p>
      <w:pPr>
        <w:spacing w:after="0"/>
        <w:ind w:left="0"/>
        <w:jc w:val="both"/>
      </w:pPr>
      <w:r>
        <w:rPr>
          <w:rFonts w:ascii="Times New Roman"/>
          <w:b w:val="false"/>
          <w:i w:val="false"/>
          <w:color w:val="000000"/>
          <w:sz w:val="28"/>
        </w:rPr>
        <w:t>
      С1. Оценка методологии определения стратегии развития СВА (составления Программы гарантии и повышения качества внутреннего государственного аудита)</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Утверждается ли руководителем государственного органа Программа гарантии и повышения качества внутреннего государственного аудита (далее – Программа)?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внутренние документы, определяющие порядок составления Программы, структуру и содержание показателей, процедуру заполнения и обобщения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Определены ли Программой показатели измерения уровня достижения поставленных целей? Является ли Программа предметом регулярного пересмотра (не менее 1 раза в год) для обеспечения актуальности и уместности?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ли Программа анализ наличия кадрового потенциала и оценку потребности в квалифицированных кадрах, необходимых для обеспечения поставленных целей?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Отслеживается ли состояние внедрения мероприятий по оценке СВА качества и если да, то насколько полно они внедряются, что мешает их реализации?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план обучения персонала и если да, то насколько полно в нем учтено реальные потребности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Проводятся ли фактически экономические занятия в СВА? Есть ли документальное подтверждение проведения такой учебы? Насколько полно занятия соответствуют плану обучения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ли государственные аудиторы проходят периодическое повышение квалификации? Ведет ли СВА реестр всех таких запланированных и проведенных курсов?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Учитывается ли на уровне государственного органа общий реестр всех проведенных обучений и достижений государственного аудитора?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Учитывается ли при планировании работы СВА выделение достаточного количества времени на обучения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Проводятся ли периодические оценки качества внутреннего государственного аудита и насколько часто?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Разрабатываются ли по результатам проведенной оценки СВА качества мероприятия, направленные на повышение качества внутреннего государственного аудита и отображаются ли они в Программе на последующий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Отчитывается ли руководитель СВА перед руководителем государственного органа по реализации Программы, результатов поставленных в ней целей, а также результатов оценок СВА качества внутреннего государственного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29" w:id="106"/>
    <w:p>
      <w:pPr>
        <w:spacing w:after="0"/>
        <w:ind w:left="0"/>
        <w:jc w:val="both"/>
      </w:pPr>
      <w:r>
        <w:rPr>
          <w:rFonts w:ascii="Times New Roman"/>
          <w:b w:val="false"/>
          <w:i w:val="false"/>
          <w:color w:val="000000"/>
          <w:sz w:val="28"/>
        </w:rPr>
        <w:t>
      С2. Оценка правовой базы, регламентирующей деятельность СВА</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Утверждено ли Положение о СВА, должностные инструкции его работников?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Раскрыты ли в Положении и должностных инструкциях все основные аспекты деятельности, соответствуют ли они основным требованиям законодательства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 ли на основе Типовой системы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 (далее – ТСУР), "Об утверждении типовой системы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 (утвержденной </w:t>
            </w:r>
            <w:r>
              <w:rPr>
                <w:rFonts w:ascii="Times New Roman"/>
                <w:b w:val="false"/>
                <w:i w:val="false"/>
                <w:color w:val="000000"/>
                <w:sz w:val="20"/>
              </w:rPr>
              <w:t>приказом</w:t>
            </w:r>
            <w:r>
              <w:rPr>
                <w:rFonts w:ascii="Times New Roman"/>
                <w:b w:val="false"/>
                <w:i w:val="false"/>
                <w:color w:val="000000"/>
                <w:sz w:val="20"/>
              </w:rPr>
              <w:t xml:space="preserve"> Министра финансов Республики Казахстан от 30 ноября 2015 года № 597) (Зарегистрирован в Министерстве юстиции Республики Казахстан 24 декабря 2015 года под № 12490). (в соответствии с пунктом 14 ТСУР) реестр рисков согласно возложенным функциям и полномочиям?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Охватывает ли реестр рисков все направления и все основные аспекты внутреннего государственного аудита, соответствует ли она требованиям законодательства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 ли внутренними документами порядок планирования аудитов (как отдельный документ или раздел другого внутреннего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Определяют ли внутренние документы по организации и проведения внутренних государственных аудитов порядок расчета планового и фактического фонда рабочего времени, распределение его по направлениям аудитов, отбора объектов для внесения в планы, а также критерии такого отбора?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 ли отбор объектов для проведения внутренних государственных аудитов на ежегодной оценке рисков?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30" w:id="107"/>
    <w:p>
      <w:pPr>
        <w:spacing w:after="0"/>
        <w:ind w:left="0"/>
        <w:jc w:val="both"/>
      </w:pPr>
      <w:r>
        <w:rPr>
          <w:rFonts w:ascii="Times New Roman"/>
          <w:b w:val="false"/>
          <w:i w:val="false"/>
          <w:color w:val="000000"/>
          <w:sz w:val="28"/>
        </w:rPr>
        <w:t>
      Определение уровня оценки (С1+С2):</w:t>
      </w:r>
    </w:p>
    <w:bookmarkEnd w:id="107"/>
    <w:bookmarkStart w:name="z131" w:id="108"/>
    <w:p>
      <w:pPr>
        <w:spacing w:after="0"/>
        <w:ind w:left="0"/>
        <w:jc w:val="both"/>
      </w:pPr>
      <w:r>
        <w:rPr>
          <w:rFonts w:ascii="Times New Roman"/>
          <w:b w:val="false"/>
          <w:i w:val="false"/>
          <w:color w:val="000000"/>
          <w:sz w:val="28"/>
        </w:rPr>
        <w:t>
      низкий – 0% – 19% включительно;</w:t>
      </w:r>
    </w:p>
    <w:bookmarkEnd w:id="108"/>
    <w:bookmarkStart w:name="z132" w:id="109"/>
    <w:p>
      <w:pPr>
        <w:spacing w:after="0"/>
        <w:ind w:left="0"/>
        <w:jc w:val="both"/>
      </w:pPr>
      <w:r>
        <w:rPr>
          <w:rFonts w:ascii="Times New Roman"/>
          <w:b w:val="false"/>
          <w:i w:val="false"/>
          <w:color w:val="000000"/>
          <w:sz w:val="28"/>
        </w:rPr>
        <w:t>
      ниже среднего – 20 – 39% включительно;</w:t>
      </w:r>
    </w:p>
    <w:bookmarkEnd w:id="109"/>
    <w:bookmarkStart w:name="z133" w:id="110"/>
    <w:p>
      <w:pPr>
        <w:spacing w:after="0"/>
        <w:ind w:left="0"/>
        <w:jc w:val="both"/>
      </w:pPr>
      <w:r>
        <w:rPr>
          <w:rFonts w:ascii="Times New Roman"/>
          <w:b w:val="false"/>
          <w:i w:val="false"/>
          <w:color w:val="000000"/>
          <w:sz w:val="28"/>
        </w:rPr>
        <w:t>
      средний – 40% – 59% включительно;</w:t>
      </w:r>
    </w:p>
    <w:bookmarkEnd w:id="110"/>
    <w:bookmarkStart w:name="z134" w:id="111"/>
    <w:p>
      <w:pPr>
        <w:spacing w:after="0"/>
        <w:ind w:left="0"/>
        <w:jc w:val="both"/>
      </w:pPr>
      <w:r>
        <w:rPr>
          <w:rFonts w:ascii="Times New Roman"/>
          <w:b w:val="false"/>
          <w:i w:val="false"/>
          <w:color w:val="000000"/>
          <w:sz w:val="28"/>
        </w:rPr>
        <w:t>
      выше среднего – 60 % – 79% включительно;</w:t>
      </w:r>
    </w:p>
    <w:bookmarkEnd w:id="111"/>
    <w:bookmarkStart w:name="z135" w:id="112"/>
    <w:p>
      <w:pPr>
        <w:spacing w:after="0"/>
        <w:ind w:left="0"/>
        <w:jc w:val="both"/>
      </w:pPr>
      <w:r>
        <w:rPr>
          <w:rFonts w:ascii="Times New Roman"/>
          <w:b w:val="false"/>
          <w:i w:val="false"/>
          <w:color w:val="000000"/>
          <w:sz w:val="28"/>
        </w:rPr>
        <w:t>
      высокий – 80% –100% включительно.</w:t>
      </w:r>
    </w:p>
    <w:bookmarkEnd w:id="112"/>
    <w:bookmarkStart w:name="z136" w:id="113"/>
    <w:p>
      <w:pPr>
        <w:spacing w:after="0"/>
        <w:ind w:left="0"/>
        <w:jc w:val="both"/>
      </w:pPr>
      <w:r>
        <w:rPr>
          <w:rFonts w:ascii="Times New Roman"/>
          <w:b w:val="false"/>
          <w:i w:val="false"/>
          <w:color w:val="000000"/>
          <w:sz w:val="28"/>
        </w:rPr>
        <w:t>
      Примечание:</w:t>
      </w:r>
    </w:p>
    <w:bookmarkEnd w:id="113"/>
    <w:bookmarkStart w:name="z137" w:id="114"/>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114"/>
    <w:bookmarkStart w:name="z138" w:id="115"/>
    <w:p>
      <w:pPr>
        <w:spacing w:after="0"/>
        <w:ind w:left="0"/>
        <w:jc w:val="both"/>
      </w:pPr>
      <w:r>
        <w:rPr>
          <w:rFonts w:ascii="Times New Roman"/>
          <w:b w:val="false"/>
          <w:i w:val="false"/>
          <w:color w:val="000000"/>
          <w:sz w:val="28"/>
        </w:rPr>
        <w:t>
      Результаты оценки правовой базы СВА (С1+С2)</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государственного органа отсутствует правовая база, регламентирующая реализацию функции СВА (как в части обеспечения деятельности СВА, так и в части его развития).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имеющихся внутренних документах по деятельности и развитию внутреннего государственного аудита в системе государственного органа не учтено ряд требований нормативных правовых актов высшего уровня, поэтому они требуют существенной доработки.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уровне государственного органа утверждены внутренние документы, регламентирующие деятельность СВА, однако в них не учтены отдельные аспекты деятельности, последующего развития и повышения качества функции СВА.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Правовая база СВА достаточна для осуществления деятельности, развития и повышения качества внутреннего государственного аудита в системе государственного органа. В тоже время она требует более широкого освещения отдельных аспектов или ряда уточнений.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Правовая база государственного органа полностью соответствует требованиям законодательства Республики Казахстан высшего уровня в этой сфере, освещает все основные аспекты как реализации функции внутреннего государственного аудита, так и ее развития, и является хорошим подспорьем для специалистов СВА.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bookmarkStart w:name="z139" w:id="116"/>
    <w:p>
      <w:pPr>
        <w:spacing w:after="0"/>
        <w:ind w:left="0"/>
        <w:jc w:val="both"/>
      </w:pPr>
      <w:r>
        <w:rPr>
          <w:rFonts w:ascii="Times New Roman"/>
          <w:b w:val="false"/>
          <w:i w:val="false"/>
          <w:color w:val="000000"/>
          <w:sz w:val="28"/>
        </w:rPr>
        <w:t>
      D. Система планирования деятельности СВА и состояние выполнения планов</w:t>
      </w:r>
    </w:p>
    <w:bookmarkEnd w:id="116"/>
    <w:bookmarkStart w:name="z140" w:id="117"/>
    <w:p>
      <w:pPr>
        <w:spacing w:after="0"/>
        <w:ind w:left="0"/>
        <w:jc w:val="both"/>
      </w:pPr>
      <w:r>
        <w:rPr>
          <w:rFonts w:ascii="Times New Roman"/>
          <w:b w:val="false"/>
          <w:i w:val="false"/>
          <w:color w:val="000000"/>
          <w:sz w:val="28"/>
        </w:rPr>
        <w:t>
      D1. Порядок формирования и утверждения перечней объектов государственного аудита на соответствующий год, внесение изменений в них</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Утверждены ли руководителем государственного органа внутренние документы, определяющие порядок и все основные аспекты планирования работы СВА?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ли требования внутренних документов касательно порядка планирования работы СВА требованиям нормативной правовой базы?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в наличии перечни объектов государственного аудита на все плановые периоды в течение срока, охваченного оценкой?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Придерживается ли фактически СВА требований нормативных правовых актов и внутренних документов касательно: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формирования перечня объектов внутреннего государственного аудита на соответствующий финансовый год на основании системы управлениями рисками, других определенных критериев отбора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расчета фондов планового и рабочего времени?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внесения изменений в перечни объектов государственного аудита на соответствующий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правомерности оснований для проведения внеплановых контрольных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41" w:id="118"/>
    <w:p>
      <w:pPr>
        <w:spacing w:after="0"/>
        <w:ind w:left="0"/>
        <w:jc w:val="both"/>
      </w:pPr>
      <w:r>
        <w:rPr>
          <w:rFonts w:ascii="Times New Roman"/>
          <w:b w:val="false"/>
          <w:i w:val="false"/>
          <w:color w:val="000000"/>
          <w:sz w:val="28"/>
        </w:rPr>
        <w:t>
      D2. Состояние выполнения перечня объектов государственного аудита на соответствующий год</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Обеспечено ли стопроцентное выполнение перечня объектов государственного аудита на соответствующий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Существуют ли обоснованные причины для невыполнения перечня объектов государственного аудита на соответствующий год (при наличии фактов невыполнения)?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связаны ли факты невыполнения перечня объектов государственного аудита на соответствующий год с недостатками и просчетами на стадии их формирования?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имеют ли факты невыполнения перечней объектов государственного аудита на соответствующий год системный характер?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влияет ли количество внеплановых поручений на состояние выполнения перечней объектов государственного аудита на соответствующий год, а также на системность охвата внутренним государственным аудитом объектов государственного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Информируется ли руководитель государственного органа о состоянии выполнения перечней объектов государственного аудита на соответствующий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42" w:id="119"/>
    <w:p>
      <w:pPr>
        <w:spacing w:after="0"/>
        <w:ind w:left="0"/>
        <w:jc w:val="both"/>
      </w:pPr>
      <w:r>
        <w:rPr>
          <w:rFonts w:ascii="Times New Roman"/>
          <w:b w:val="false"/>
          <w:i w:val="false"/>
          <w:color w:val="000000"/>
          <w:sz w:val="28"/>
        </w:rPr>
        <w:t>
      Определение уровня оценки (D1+D2):</w:t>
      </w:r>
    </w:p>
    <w:bookmarkEnd w:id="119"/>
    <w:bookmarkStart w:name="z143" w:id="120"/>
    <w:p>
      <w:pPr>
        <w:spacing w:after="0"/>
        <w:ind w:left="0"/>
        <w:jc w:val="both"/>
      </w:pPr>
      <w:r>
        <w:rPr>
          <w:rFonts w:ascii="Times New Roman"/>
          <w:b w:val="false"/>
          <w:i w:val="false"/>
          <w:color w:val="000000"/>
          <w:sz w:val="28"/>
        </w:rPr>
        <w:t>
      низкий – 0% – 19% включительно;</w:t>
      </w:r>
    </w:p>
    <w:bookmarkEnd w:id="120"/>
    <w:bookmarkStart w:name="z144" w:id="121"/>
    <w:p>
      <w:pPr>
        <w:spacing w:after="0"/>
        <w:ind w:left="0"/>
        <w:jc w:val="both"/>
      </w:pPr>
      <w:r>
        <w:rPr>
          <w:rFonts w:ascii="Times New Roman"/>
          <w:b w:val="false"/>
          <w:i w:val="false"/>
          <w:color w:val="000000"/>
          <w:sz w:val="28"/>
        </w:rPr>
        <w:t>
      ниже среднего – 20 – 39% включительно;</w:t>
      </w:r>
    </w:p>
    <w:bookmarkEnd w:id="121"/>
    <w:bookmarkStart w:name="z145" w:id="122"/>
    <w:p>
      <w:pPr>
        <w:spacing w:after="0"/>
        <w:ind w:left="0"/>
        <w:jc w:val="both"/>
      </w:pPr>
      <w:r>
        <w:rPr>
          <w:rFonts w:ascii="Times New Roman"/>
          <w:b w:val="false"/>
          <w:i w:val="false"/>
          <w:color w:val="000000"/>
          <w:sz w:val="28"/>
        </w:rPr>
        <w:t>
      средний – 40% – 59% включительно;</w:t>
      </w:r>
    </w:p>
    <w:bookmarkEnd w:id="122"/>
    <w:bookmarkStart w:name="z146" w:id="123"/>
    <w:p>
      <w:pPr>
        <w:spacing w:after="0"/>
        <w:ind w:left="0"/>
        <w:jc w:val="both"/>
      </w:pPr>
      <w:r>
        <w:rPr>
          <w:rFonts w:ascii="Times New Roman"/>
          <w:b w:val="false"/>
          <w:i w:val="false"/>
          <w:color w:val="000000"/>
          <w:sz w:val="28"/>
        </w:rPr>
        <w:t>
      выше среднего – 60 % – 79% включительно;</w:t>
      </w:r>
    </w:p>
    <w:bookmarkEnd w:id="123"/>
    <w:bookmarkStart w:name="z147" w:id="124"/>
    <w:p>
      <w:pPr>
        <w:spacing w:after="0"/>
        <w:ind w:left="0"/>
        <w:jc w:val="both"/>
      </w:pPr>
      <w:r>
        <w:rPr>
          <w:rFonts w:ascii="Times New Roman"/>
          <w:b w:val="false"/>
          <w:i w:val="false"/>
          <w:color w:val="000000"/>
          <w:sz w:val="28"/>
        </w:rPr>
        <w:t>
      высокий – 80% –100% включительно.</w:t>
      </w:r>
    </w:p>
    <w:bookmarkEnd w:id="124"/>
    <w:bookmarkStart w:name="z148" w:id="125"/>
    <w:p>
      <w:pPr>
        <w:spacing w:after="0"/>
        <w:ind w:left="0"/>
        <w:jc w:val="both"/>
      </w:pPr>
      <w:r>
        <w:rPr>
          <w:rFonts w:ascii="Times New Roman"/>
          <w:b w:val="false"/>
          <w:i w:val="false"/>
          <w:color w:val="000000"/>
          <w:sz w:val="28"/>
        </w:rPr>
        <w:t>
      Примечание:</w:t>
      </w:r>
    </w:p>
    <w:bookmarkEnd w:id="125"/>
    <w:bookmarkStart w:name="z149" w:id="126"/>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126"/>
    <w:bookmarkStart w:name="z150" w:id="127"/>
    <w:p>
      <w:pPr>
        <w:spacing w:after="0"/>
        <w:ind w:left="0"/>
        <w:jc w:val="both"/>
      </w:pPr>
      <w:r>
        <w:rPr>
          <w:rFonts w:ascii="Times New Roman"/>
          <w:b w:val="false"/>
          <w:i w:val="false"/>
          <w:color w:val="000000"/>
          <w:sz w:val="28"/>
        </w:rPr>
        <w:t>
      Результаты оценки системы планирования деятельности СВА и состояния выполнения планов (D1+D2)</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планирования внутренних государственных аудитов отсутствует. Объекты государственного аудита не охватываются внутренними государственными аудитами в полной мере. Перечни объектов государственного аудита формируются без системы управления рисками или других критериев. Как следствие, планируется аудит объектов с низкими рисками, а наиболее рискованные объекты остаются вне контроля их аудиторов. Перечни объектов государственного аудита формируются без учета системы управления рисками и не всегда выполняются.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 пытается использовать систему управления рисками и другие критерии при планировании работы. Однако обеспечить системность охвата сферы контроля или, по крайней мере, объектов с наивысшими рисками не удается. Большое количество внеплановых поручений имеет следствием невыполнение планов.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формируются в соответствии с утвержденным порядком, содержат относительно рискованные объекты и в основном выполняются на сто процентов. В то же время система планирования имеет отдельные недостатки и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уровне государственного органа утверждена и фактически внедрена система планирования деятельности по внутреннему государственному аудиту на основании системы управления рисками. Планы формируются согласно требованиям нормативной базы и полностью выполняются.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планирования четкая, прозрачная и эффективная. Она позволяет сосредоточить деятельность в наиболее рискованных сферах и обеспечивает максимально эффективное использование ресурсов для достижения целей внутреннего государственного аудита.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bookmarkStart w:name="z151" w:id="128"/>
    <w:p>
      <w:pPr>
        <w:spacing w:after="0"/>
        <w:ind w:left="0"/>
        <w:jc w:val="both"/>
      </w:pPr>
      <w:r>
        <w:rPr>
          <w:rFonts w:ascii="Times New Roman"/>
          <w:b w:val="false"/>
          <w:i w:val="false"/>
          <w:color w:val="000000"/>
          <w:sz w:val="28"/>
        </w:rPr>
        <w:t>
      E. Организационные и функциональные аспекты проведения внутренних государственных аудитов</w:t>
      </w:r>
    </w:p>
    <w:bookmarkEnd w:id="128"/>
    <w:bookmarkStart w:name="z152" w:id="129"/>
    <w:p>
      <w:pPr>
        <w:spacing w:after="0"/>
        <w:ind w:left="0"/>
        <w:jc w:val="both"/>
      </w:pPr>
      <w:r>
        <w:rPr>
          <w:rFonts w:ascii="Times New Roman"/>
          <w:b w:val="false"/>
          <w:i w:val="false"/>
          <w:color w:val="000000"/>
          <w:sz w:val="28"/>
        </w:rPr>
        <w:t>
      E1. Соблюдение требований нормативных правовых актов в части организации внутренних государственных аудитов</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Выполняются ли требования нормативных правовых актов и внутренних документов в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подготовки к проведению внутреннего государственного аудита: изучения, анализа объекта аудита, определения целей и предмета, правильность планирования и распределения трудовых 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составления и утверждения программ внутренних государственных аудитов (рабочих планов по необходимости)?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соответствия программ проведения внутренних государственных аудитов определенным целям исследования?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соответствия объемов исследования, определенных в программах, срокам и ресурсам для их проведения?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процедуры привлечения специалистов других подразделений/организаций к проведению внутренних государственных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сроков проведения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53" w:id="130"/>
    <w:p>
      <w:pPr>
        <w:spacing w:after="0"/>
        <w:ind w:left="0"/>
        <w:jc w:val="both"/>
      </w:pPr>
      <w:r>
        <w:rPr>
          <w:rFonts w:ascii="Times New Roman"/>
          <w:b w:val="false"/>
          <w:i w:val="false"/>
          <w:color w:val="000000"/>
          <w:sz w:val="28"/>
        </w:rPr>
        <w:t>
      E2. Эффективность аудиторских действий и качество документирования материалов внутренних государственных аудитов</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Подтверждают ли материалы внутренних государственных аудитов фактическое исследование всех программных вопросов?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Подтверждают ли материалы внутренних государственных аудитов полноту действий государственных аудиторов во время сбора аудиторских доказательств для их подтверждения по каждому из вопросов программы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Выполняются ли требования нормативных правовых актов касательно документирования внутренних государственных аудитов, формы аудиторских отчетов?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полном ли объеме и достаточно ли четко задокументированы в аудиторских отчетах факты, аудиторские доказательства, выявленные недостатки и нарушения (изложены ли факты четко и понятно, есть ли ссылки на нарушенные нормативные правовые акты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Всегда ли аудиторские доказательства в материалах аудита соответствуют выводам аудиторов в аудиторских отчетах?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Всегда ли в аудиторских отчетах правильно квалифицируются задокументированные нарушения и недостатки?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Содержат ли материалы внутренних государственных аудитов документальное подтверждение проведения руководителем СВА/руководителем аудиторской группы мониторинга качества и поддержки функции внутреннего государственного аудита во время проведения аудиторского исследования?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Выполняются ли требования нормативных правовых актов и внутренних документов по формированию и хранению аудиторских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54" w:id="131"/>
    <w:p>
      <w:pPr>
        <w:spacing w:after="0"/>
        <w:ind w:left="0"/>
        <w:jc w:val="both"/>
      </w:pPr>
      <w:r>
        <w:rPr>
          <w:rFonts w:ascii="Times New Roman"/>
          <w:b w:val="false"/>
          <w:i w:val="false"/>
          <w:color w:val="000000"/>
          <w:sz w:val="28"/>
        </w:rPr>
        <w:t>
      Определение уровня оценки (Е1+Е2):</w:t>
      </w:r>
    </w:p>
    <w:bookmarkEnd w:id="131"/>
    <w:bookmarkStart w:name="z155" w:id="132"/>
    <w:p>
      <w:pPr>
        <w:spacing w:after="0"/>
        <w:ind w:left="0"/>
        <w:jc w:val="both"/>
      </w:pPr>
      <w:r>
        <w:rPr>
          <w:rFonts w:ascii="Times New Roman"/>
          <w:b w:val="false"/>
          <w:i w:val="false"/>
          <w:color w:val="000000"/>
          <w:sz w:val="28"/>
        </w:rPr>
        <w:t>
      низкий – 0% – 19% включительно;</w:t>
      </w:r>
    </w:p>
    <w:bookmarkEnd w:id="132"/>
    <w:bookmarkStart w:name="z156" w:id="133"/>
    <w:p>
      <w:pPr>
        <w:spacing w:after="0"/>
        <w:ind w:left="0"/>
        <w:jc w:val="both"/>
      </w:pPr>
      <w:r>
        <w:rPr>
          <w:rFonts w:ascii="Times New Roman"/>
          <w:b w:val="false"/>
          <w:i w:val="false"/>
          <w:color w:val="000000"/>
          <w:sz w:val="28"/>
        </w:rPr>
        <w:t>
      ниже среднего – 20 – 39% включительно;</w:t>
      </w:r>
    </w:p>
    <w:bookmarkEnd w:id="133"/>
    <w:bookmarkStart w:name="z157" w:id="134"/>
    <w:p>
      <w:pPr>
        <w:spacing w:after="0"/>
        <w:ind w:left="0"/>
        <w:jc w:val="both"/>
      </w:pPr>
      <w:r>
        <w:rPr>
          <w:rFonts w:ascii="Times New Roman"/>
          <w:b w:val="false"/>
          <w:i w:val="false"/>
          <w:color w:val="000000"/>
          <w:sz w:val="28"/>
        </w:rPr>
        <w:t>
      средний – 40% – 59% включительно;</w:t>
      </w:r>
    </w:p>
    <w:bookmarkEnd w:id="134"/>
    <w:bookmarkStart w:name="z158" w:id="135"/>
    <w:p>
      <w:pPr>
        <w:spacing w:after="0"/>
        <w:ind w:left="0"/>
        <w:jc w:val="both"/>
      </w:pPr>
      <w:r>
        <w:rPr>
          <w:rFonts w:ascii="Times New Roman"/>
          <w:b w:val="false"/>
          <w:i w:val="false"/>
          <w:color w:val="000000"/>
          <w:sz w:val="28"/>
        </w:rPr>
        <w:t>
      выше среднего – 60 % – 79% включительно;</w:t>
      </w:r>
    </w:p>
    <w:bookmarkEnd w:id="135"/>
    <w:bookmarkStart w:name="z159" w:id="136"/>
    <w:p>
      <w:pPr>
        <w:spacing w:after="0"/>
        <w:ind w:left="0"/>
        <w:jc w:val="both"/>
      </w:pPr>
      <w:r>
        <w:rPr>
          <w:rFonts w:ascii="Times New Roman"/>
          <w:b w:val="false"/>
          <w:i w:val="false"/>
          <w:color w:val="000000"/>
          <w:sz w:val="28"/>
        </w:rPr>
        <w:t>
      высокий – 80% –100% включительно.</w:t>
      </w:r>
    </w:p>
    <w:bookmarkEnd w:id="136"/>
    <w:bookmarkStart w:name="z160" w:id="137"/>
    <w:p>
      <w:pPr>
        <w:spacing w:after="0"/>
        <w:ind w:left="0"/>
        <w:jc w:val="both"/>
      </w:pPr>
      <w:r>
        <w:rPr>
          <w:rFonts w:ascii="Times New Roman"/>
          <w:b w:val="false"/>
          <w:i w:val="false"/>
          <w:color w:val="000000"/>
          <w:sz w:val="28"/>
        </w:rPr>
        <w:t>
      Примечание:</w:t>
      </w:r>
    </w:p>
    <w:bookmarkEnd w:id="137"/>
    <w:bookmarkStart w:name="z161" w:id="138"/>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138"/>
    <w:bookmarkStart w:name="z162" w:id="139"/>
    <w:p>
      <w:pPr>
        <w:spacing w:after="0"/>
        <w:ind w:left="0"/>
        <w:jc w:val="both"/>
      </w:pPr>
      <w:r>
        <w:rPr>
          <w:rFonts w:ascii="Times New Roman"/>
          <w:b w:val="false"/>
          <w:i w:val="false"/>
          <w:color w:val="000000"/>
          <w:sz w:val="28"/>
        </w:rPr>
        <w:t>
      Результаты оценки организационных и функциональных аспектов проведения внутренних государственных аудитов (E1+E2)</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государственного органа внутренние государственные аудиты организовываются и проводятся на неудовлетворительном уровне. Фактически функция своей цели не достигает и не в состоянии выявлять или предупреждать нарушения в полном объеме. Исследуются лишь отдельные вопросы, к тому же аудиторские действия поверхностные, а недостатки документирования не дают возможности квалифицировать выявленные нарушения и существующие проблемы.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государственного органа есть ряд недостатков в организации и проведении аудитов, которые не способствуют результативности реализации функции СВА. Однако эта функция развивается в соответствии со Стандартами внутреннего государственного аудита и помогает руководителю государственного органа в решении отдельных вопросов.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государственного органа внутренние государственные аудиты организовываются и проводятся с несущественными недостатками, не имеющими системного характера, и обеспечивают достижение определенных (в ряде случаев даже относительно высоких) результатов. В то же время, для повышения качества внутреннего государственного аудита необходимо принять некоторые рекомендованные меры.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государственного органа внутренние государственные аудиты организовываются и проводятся на должном уровне и позволяют выявлять существенное количество недостатков, нарушений финансовой дисциплины и так далее. Имеются лишь отдельные недостатки, устранение которых будет способствовать повышению качества СВА.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государственного органа внутренние государственные аудиты организовываются и проводятся на высоком профессиональном уровне. Функция СВА обеспечивает максимальное выявление имеющихся нарушений, недостатков и проблемных вопросов в деятельности. Таким образом обеспечивается высокий уровень гарантии отсутствия нарушений и должной поддержки финансового управления и контроля в отрасли.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bookmarkStart w:name="z163" w:id="140"/>
    <w:p>
      <w:pPr>
        <w:spacing w:after="0"/>
        <w:ind w:left="0"/>
        <w:jc w:val="both"/>
      </w:pPr>
      <w:r>
        <w:rPr>
          <w:rFonts w:ascii="Times New Roman"/>
          <w:b w:val="false"/>
          <w:i w:val="false"/>
          <w:color w:val="000000"/>
          <w:sz w:val="28"/>
        </w:rPr>
        <w:t>
      F. Результативность проведенных внутренних государственных аудитов и реализации их рекомендаций</w:t>
      </w:r>
    </w:p>
    <w:bookmarkEnd w:id="140"/>
    <w:bookmarkStart w:name="z164" w:id="141"/>
    <w:p>
      <w:pPr>
        <w:spacing w:after="0"/>
        <w:ind w:left="0"/>
        <w:jc w:val="both"/>
      </w:pPr>
      <w:r>
        <w:rPr>
          <w:rFonts w:ascii="Times New Roman"/>
          <w:b w:val="false"/>
          <w:i w:val="false"/>
          <w:color w:val="000000"/>
          <w:sz w:val="28"/>
        </w:rPr>
        <w:t>
      F1. Анализ результативности проведенных внутренних государственных аудитов и достоверности отчетности</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Внедрена ли в службе система учета и накопления отчетных показателей по результатам внутренних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Отчитывается ли (с установленной периодичностью) СВА о результатах своей деятельности перед руководителем государственного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факты недостоверности, искажения отчетных показателей, их несоответствия с отчетами, подаваемыми руководителю объекта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Подтверждает ли анализ показателей отчетности (с учетом корректировки недостоверных показателей отчетности) высокую результативность и эффективность внутреннего государственного аудита (в том числе в сопоставлении с результатами аналогичных контрольных мероприятий, проведенных уполномоченным органом)? А именно: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касательно результативных показателей (по результатам аудитов соответствия и 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касательно эффективности и масштабности проблем, выявленных во время проведения аудитов эффективности (например, изменения в актах законодательства Республики Казахстан, проблемы в распределении полномочий, неэффективном управление объектами государственной собственности, документообороте, осуществлении контрольных функций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факты несогласия объектов аудита с результатами внутренних государственных аудитов, замечаний, жалоб на действия государственных аудиторов и другие?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 ли и фактически выполняется ли внутренний порядок рассмотрения замечаний/возражений к аудиторским отчетам, жалоб на действия государственных аудиторов?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65" w:id="142"/>
    <w:p>
      <w:pPr>
        <w:spacing w:after="0"/>
        <w:ind w:left="0"/>
        <w:jc w:val="both"/>
      </w:pPr>
      <w:r>
        <w:rPr>
          <w:rFonts w:ascii="Times New Roman"/>
          <w:b w:val="false"/>
          <w:i w:val="false"/>
          <w:color w:val="000000"/>
          <w:sz w:val="28"/>
        </w:rPr>
        <w:t>
      F2. Реализация аудиторских рекомендаций</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ли требования внутренних документов в части реализации результатов внутренних государственных аудитов в соответствии с нормативными правовыми актами по этим вопросам?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Предоставленные по результатам внутренних государственных аудитов рекомендации: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имеют конкретный, конструктивный характер?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четко определяют сроки их реализации, ответственных должностных лиц и ожидаемые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соответствуют изложенным в материалах исследования фактам?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Предоставляют ли руководителю объекта государственного аудита проект аудиторского отчета на ознакомление и существуют ли документальные подтверждения таких фактов?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Всегда ли руководитель объекта государственного аудита соглашается со всеми, предоставленными ему аудиторскими отчетами?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факты включения в отчет о результатах внутренних государственных аудитов фактов нарушений с нерассмотренными государственными аудиторами возражениями объектов государственного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 всех ли случаях и своевременно ли информируются правоохранительные и другие заинтересованные органы о результатах внутренних государственных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Привлечены ли лица к административной ответственности по итогам передачи материалов с соответствующими аудиторскими доказательствами в органы, уполномоченные рассматривать дела об административных правонарушениях?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66" w:id="143"/>
    <w:p>
      <w:pPr>
        <w:spacing w:after="0"/>
        <w:ind w:left="0"/>
        <w:jc w:val="both"/>
      </w:pPr>
      <w:r>
        <w:rPr>
          <w:rFonts w:ascii="Times New Roman"/>
          <w:b w:val="false"/>
          <w:i w:val="false"/>
          <w:color w:val="000000"/>
          <w:sz w:val="28"/>
        </w:rPr>
        <w:t>
      F3. Состояние мониторинга внедрения аудиторских рекомендаций</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утвержденные внутренние документы, регламентирующие форму и процедуру мониторинга внедрения рекомендаций по результатам внутренних государственных аудитов в системе подконтрольного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Определяют ли внутренние формы мониторинга внедрения аудиторских рекомендаций четкие сроки их реализации, должностных лиц, ответственных за реализацию каждого конкретного мероприятия, а также ожидаемые результаты от внедрения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Осуществляется ли фактически мониторинг внедрения аудиторских рекомендаций с учетом требований нормативных правовых актов, ведется ли он до полного внедрения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Анализируется ли достижение ожидаемых результатов внедрения аудиторских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документальное подтверждение ликвидации недостатков и внедрения аудиторских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факты невыполнения аудиторских рекомендаций по причине их некачественных формулировок (не четко, не понятно, кому, что и зачем выполнять)?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Инициирует ли СВА меры (письма-напоминания, ведомственные приказы и другие) по отношению к объекту контроля в случае невыполнения им рекомендаций в определенные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Осуществляется ли объектом аудита периодическое информирование о результатах мониторинга внедрения аудиторских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"Нет"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67" w:id="144"/>
    <w:p>
      <w:pPr>
        <w:spacing w:after="0"/>
        <w:ind w:left="0"/>
        <w:jc w:val="both"/>
      </w:pPr>
      <w:r>
        <w:rPr>
          <w:rFonts w:ascii="Times New Roman"/>
          <w:b w:val="false"/>
          <w:i w:val="false"/>
          <w:color w:val="000000"/>
          <w:sz w:val="28"/>
        </w:rPr>
        <w:t>
      Определение уровня оценки (F1+F2+F3):</w:t>
      </w:r>
    </w:p>
    <w:bookmarkEnd w:id="144"/>
    <w:bookmarkStart w:name="z168" w:id="145"/>
    <w:p>
      <w:pPr>
        <w:spacing w:after="0"/>
        <w:ind w:left="0"/>
        <w:jc w:val="both"/>
      </w:pPr>
      <w:r>
        <w:rPr>
          <w:rFonts w:ascii="Times New Roman"/>
          <w:b w:val="false"/>
          <w:i w:val="false"/>
          <w:color w:val="000000"/>
          <w:sz w:val="28"/>
        </w:rPr>
        <w:t>
      низкий – 0% – 19% включительно;</w:t>
      </w:r>
    </w:p>
    <w:bookmarkEnd w:id="145"/>
    <w:bookmarkStart w:name="z169" w:id="146"/>
    <w:p>
      <w:pPr>
        <w:spacing w:after="0"/>
        <w:ind w:left="0"/>
        <w:jc w:val="both"/>
      </w:pPr>
      <w:r>
        <w:rPr>
          <w:rFonts w:ascii="Times New Roman"/>
          <w:b w:val="false"/>
          <w:i w:val="false"/>
          <w:color w:val="000000"/>
          <w:sz w:val="28"/>
        </w:rPr>
        <w:t>
      ниже среднего – 20 – 39% включительно;</w:t>
      </w:r>
    </w:p>
    <w:bookmarkEnd w:id="146"/>
    <w:bookmarkStart w:name="z170" w:id="147"/>
    <w:p>
      <w:pPr>
        <w:spacing w:after="0"/>
        <w:ind w:left="0"/>
        <w:jc w:val="both"/>
      </w:pPr>
      <w:r>
        <w:rPr>
          <w:rFonts w:ascii="Times New Roman"/>
          <w:b w:val="false"/>
          <w:i w:val="false"/>
          <w:color w:val="000000"/>
          <w:sz w:val="28"/>
        </w:rPr>
        <w:t>
      средний – 40% – 59% включительно;</w:t>
      </w:r>
    </w:p>
    <w:bookmarkEnd w:id="147"/>
    <w:bookmarkStart w:name="z171" w:id="148"/>
    <w:p>
      <w:pPr>
        <w:spacing w:after="0"/>
        <w:ind w:left="0"/>
        <w:jc w:val="both"/>
      </w:pPr>
      <w:r>
        <w:rPr>
          <w:rFonts w:ascii="Times New Roman"/>
          <w:b w:val="false"/>
          <w:i w:val="false"/>
          <w:color w:val="000000"/>
          <w:sz w:val="28"/>
        </w:rPr>
        <w:t>
      выше среднего – 60 % – 79% включительно;</w:t>
      </w:r>
    </w:p>
    <w:bookmarkEnd w:id="148"/>
    <w:bookmarkStart w:name="z172" w:id="149"/>
    <w:p>
      <w:pPr>
        <w:spacing w:after="0"/>
        <w:ind w:left="0"/>
        <w:jc w:val="both"/>
      </w:pPr>
      <w:r>
        <w:rPr>
          <w:rFonts w:ascii="Times New Roman"/>
          <w:b w:val="false"/>
          <w:i w:val="false"/>
          <w:color w:val="000000"/>
          <w:sz w:val="28"/>
        </w:rPr>
        <w:t>
      высокий – 80% –100% включительно.</w:t>
      </w:r>
    </w:p>
    <w:bookmarkEnd w:id="149"/>
    <w:bookmarkStart w:name="z173" w:id="150"/>
    <w:p>
      <w:pPr>
        <w:spacing w:after="0"/>
        <w:ind w:left="0"/>
        <w:jc w:val="both"/>
      </w:pPr>
      <w:r>
        <w:rPr>
          <w:rFonts w:ascii="Times New Roman"/>
          <w:b w:val="false"/>
          <w:i w:val="false"/>
          <w:color w:val="000000"/>
          <w:sz w:val="28"/>
        </w:rPr>
        <w:t>
      Примечание:</w:t>
      </w:r>
    </w:p>
    <w:bookmarkEnd w:id="150"/>
    <w:bookmarkStart w:name="z174" w:id="151"/>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151"/>
    <w:bookmarkStart w:name="z175" w:id="152"/>
    <w:p>
      <w:pPr>
        <w:spacing w:after="0"/>
        <w:ind w:left="0"/>
        <w:jc w:val="both"/>
      </w:pPr>
      <w:r>
        <w:rPr>
          <w:rFonts w:ascii="Times New Roman"/>
          <w:b w:val="false"/>
          <w:i w:val="false"/>
          <w:color w:val="000000"/>
          <w:sz w:val="28"/>
        </w:rPr>
        <w:t>
      Результаты оценки результативности проведенных внутренних государственных аудитов и реализации их результатов (F1+F2+F3)</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СВА практически безрезультативная, таким образом, фактически возмещать и упреждать нечего. СВА вообще не влияет на состояние финансово-бюджетной дисциплины в отрасли.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результативности деятельности СВА не высок либо государственный орган вообще не уделяет должного внимания реализации результатов аудитов. Существенной дополнительной пользы от СВА 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результативности деятельности СВА средний или выше среднего. При этом есть определенные проблемы в реализации результатов аудитов, в том числе связанные с несовершенством проведения мониторинга собственных же рекомендаций.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результативности деятельности СВА достаточно высокий, СВА влияет на состояние финансово-бюджетной дисциплины в отрасли, помогает руководству в решении актуальных проблем. В то же время, существуют резервы для улучшения этого компонента деятельности СВА.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СВА выполняет поставленные перед ней цели деятельности. Реализуется эффективно и результативно. Обеспечивает высокий уровень гарантий устранения нарушений, их недопущения в дальнейшем и надлежащую поддержку финансового управления и контроля в отрасли.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bookmarkStart w:name="z176" w:id="153"/>
    <w:p>
      <w:pPr>
        <w:spacing w:after="0"/>
        <w:ind w:left="0"/>
        <w:jc w:val="both"/>
      </w:pPr>
      <w:r>
        <w:rPr>
          <w:rFonts w:ascii="Times New Roman"/>
          <w:b w:val="false"/>
          <w:i w:val="false"/>
          <w:color w:val="000000"/>
          <w:sz w:val="28"/>
        </w:rPr>
        <w:t>
      G. Состояние взаимодействия СВА с уполномоченным органом</w:t>
      </w:r>
    </w:p>
    <w:bookmarkEnd w:id="153"/>
    <w:bookmarkStart w:name="z177" w:id="154"/>
    <w:p>
      <w:pPr>
        <w:spacing w:after="0"/>
        <w:ind w:left="0"/>
        <w:jc w:val="both"/>
      </w:pPr>
      <w:r>
        <w:rPr>
          <w:rFonts w:ascii="Times New Roman"/>
          <w:b w:val="false"/>
          <w:i w:val="false"/>
          <w:color w:val="000000"/>
          <w:sz w:val="28"/>
        </w:rPr>
        <w:t>
      G1. Устранение недостатков, выявленных уполномоченным органом во время предыдущей оценки качества внутреннего государственного аудита, и реализации предоставленных рекомендаций</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Разрабатываются ли по результатам оценок уполномоченного органа планы (другие внутренние документы) по реализации предоставленных рекомендаций с определением конкретных сроков выполнения и ответственных исполнителей в разрезе каждой рекомендации?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Утверждает ли руководство государственного органа планы по реализации предоставленных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Выполняются ли фактически рекомендации уполномоченного органа, и отслеживается ли их выполнение?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выполнения по каждой рекомендации уполномоченного органа, предоставленной по результатам предыдущего исследования: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78" w:id="155"/>
    <w:p>
      <w:pPr>
        <w:spacing w:after="0"/>
        <w:ind w:left="0"/>
        <w:jc w:val="both"/>
      </w:pPr>
      <w:r>
        <w:rPr>
          <w:rFonts w:ascii="Times New Roman"/>
          <w:b w:val="false"/>
          <w:i w:val="false"/>
          <w:color w:val="000000"/>
          <w:sz w:val="28"/>
        </w:rPr>
        <w:t>
      G2. Реализация функции внутреннего государственного аудита</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Всегда ли и своевременно подаются отчеты уполномоченному органу?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факты возврата на доработку (дополнительную корректировку) уполномоченным органом отчетов из-за их некачественного заполнения, недостоверности отчетных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Участвуют ли работники СВА в обучениях, семинарах, других мероприятиях, организуемых уполномоченным органом?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факты игнорирования обращений/запросов уполномоченного органа, направления формальной, некачественной информации на запросы, в том числе касательно организации работы по реализации требований и рекомендаций, предоставленных уполномоченным органом по результатам проведенных ними внешних оценок качества?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79" w:id="156"/>
    <w:p>
      <w:pPr>
        <w:spacing w:after="0"/>
        <w:ind w:left="0"/>
        <w:jc w:val="both"/>
      </w:pPr>
      <w:r>
        <w:rPr>
          <w:rFonts w:ascii="Times New Roman"/>
          <w:b w:val="false"/>
          <w:i w:val="false"/>
          <w:color w:val="000000"/>
          <w:sz w:val="28"/>
        </w:rPr>
        <w:t>
      Определение уровня оценки (G1+G2):</w:t>
      </w:r>
    </w:p>
    <w:bookmarkEnd w:id="156"/>
    <w:bookmarkStart w:name="z180" w:id="157"/>
    <w:p>
      <w:pPr>
        <w:spacing w:after="0"/>
        <w:ind w:left="0"/>
        <w:jc w:val="both"/>
      </w:pPr>
      <w:r>
        <w:rPr>
          <w:rFonts w:ascii="Times New Roman"/>
          <w:b w:val="false"/>
          <w:i w:val="false"/>
          <w:color w:val="000000"/>
          <w:sz w:val="28"/>
        </w:rPr>
        <w:t>
      низкий – 0% – 19% включительно;</w:t>
      </w:r>
    </w:p>
    <w:bookmarkEnd w:id="157"/>
    <w:bookmarkStart w:name="z181" w:id="158"/>
    <w:p>
      <w:pPr>
        <w:spacing w:after="0"/>
        <w:ind w:left="0"/>
        <w:jc w:val="both"/>
      </w:pPr>
      <w:r>
        <w:rPr>
          <w:rFonts w:ascii="Times New Roman"/>
          <w:b w:val="false"/>
          <w:i w:val="false"/>
          <w:color w:val="000000"/>
          <w:sz w:val="28"/>
        </w:rPr>
        <w:t>
      ниже среднего – 20 – 39% включительно;</w:t>
      </w:r>
    </w:p>
    <w:bookmarkEnd w:id="158"/>
    <w:bookmarkStart w:name="z182" w:id="159"/>
    <w:p>
      <w:pPr>
        <w:spacing w:after="0"/>
        <w:ind w:left="0"/>
        <w:jc w:val="both"/>
      </w:pPr>
      <w:r>
        <w:rPr>
          <w:rFonts w:ascii="Times New Roman"/>
          <w:b w:val="false"/>
          <w:i w:val="false"/>
          <w:color w:val="000000"/>
          <w:sz w:val="28"/>
        </w:rPr>
        <w:t>
      средний – 40% – 59% включительно;</w:t>
      </w:r>
    </w:p>
    <w:bookmarkEnd w:id="159"/>
    <w:bookmarkStart w:name="z183" w:id="160"/>
    <w:p>
      <w:pPr>
        <w:spacing w:after="0"/>
        <w:ind w:left="0"/>
        <w:jc w:val="both"/>
      </w:pPr>
      <w:r>
        <w:rPr>
          <w:rFonts w:ascii="Times New Roman"/>
          <w:b w:val="false"/>
          <w:i w:val="false"/>
          <w:color w:val="000000"/>
          <w:sz w:val="28"/>
        </w:rPr>
        <w:t>
      выше среднего – 60 % – 79% включительно;</w:t>
      </w:r>
    </w:p>
    <w:bookmarkEnd w:id="160"/>
    <w:bookmarkStart w:name="z184" w:id="161"/>
    <w:p>
      <w:pPr>
        <w:spacing w:after="0"/>
        <w:ind w:left="0"/>
        <w:jc w:val="both"/>
      </w:pPr>
      <w:r>
        <w:rPr>
          <w:rFonts w:ascii="Times New Roman"/>
          <w:b w:val="false"/>
          <w:i w:val="false"/>
          <w:color w:val="000000"/>
          <w:sz w:val="28"/>
        </w:rPr>
        <w:t>
      высокий – 80% –100% включительно.</w:t>
      </w:r>
    </w:p>
    <w:bookmarkEnd w:id="161"/>
    <w:bookmarkStart w:name="z185" w:id="162"/>
    <w:p>
      <w:pPr>
        <w:spacing w:after="0"/>
        <w:ind w:left="0"/>
        <w:jc w:val="both"/>
      </w:pPr>
      <w:r>
        <w:rPr>
          <w:rFonts w:ascii="Times New Roman"/>
          <w:b w:val="false"/>
          <w:i w:val="false"/>
          <w:color w:val="000000"/>
          <w:sz w:val="28"/>
        </w:rPr>
        <w:t>
      Примечание:/</w:t>
      </w:r>
    </w:p>
    <w:bookmarkEnd w:id="162"/>
    <w:bookmarkStart w:name="z186" w:id="163"/>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163"/>
    <w:bookmarkStart w:name="z187" w:id="164"/>
    <w:p>
      <w:pPr>
        <w:spacing w:after="0"/>
        <w:ind w:left="0"/>
        <w:jc w:val="both"/>
      </w:pPr>
      <w:r>
        <w:rPr>
          <w:rFonts w:ascii="Times New Roman"/>
          <w:b w:val="false"/>
          <w:i w:val="false"/>
          <w:color w:val="000000"/>
          <w:sz w:val="28"/>
        </w:rPr>
        <w:t>
      Результаты оценки состояния взаимодействия СВА с уполномоченным органом (G1+G2)</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системе организации не уделяется должного внимания вопросам стабилизации финансово-бюджетной дисциплины, эффективной системы внутреннего государственного аудита и финансового контроля. Полностью игнорируются рекомендации уполномоченного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 взаимодействует с уполномоченным органом не по всем аспектам, определенным законодательства Республики Казахстан. Большинство рекомендаций уполномоченного органа не выполнено или выполнено формально, что не содействует развитию и повышению качества функции СВА в системе государственного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 взаимодействует с уполномоченным органом (за исключением единичных случаев). Большинство рекомендаций уполномоченного органа выполнено. По результатам исследования прослеживается ощутимое желание повышения качества функции СВА.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 системно и всесторонне взаимодействует с уполномоченным органом. Рекомендации выполнено практически в полном объеме. Можно констатировать повышение качества внутреннего государственного аудита. В то же время существуют объективные препятствия для полной реализации рекомендаций.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Руководство государственного органа занимает принципиальную позицию и принимает исчерпывающие меры для улучшения финансово-хозяйственной дисциплины в отрасли, создания эффективной системы внутреннего контроля и внутреннего государственного аудита.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bookmarkStart w:name="z188" w:id="165"/>
    <w:p>
      <w:pPr>
        <w:spacing w:after="0"/>
        <w:ind w:left="0"/>
        <w:jc w:val="both"/>
      </w:pPr>
      <w:r>
        <w:rPr>
          <w:rFonts w:ascii="Times New Roman"/>
          <w:b w:val="false"/>
          <w:i w:val="false"/>
          <w:color w:val="000000"/>
          <w:sz w:val="28"/>
        </w:rPr>
        <w:t>
      Н. Оценка объективности проведения оценок СВА внутреннего государственного аудита</w:t>
      </w:r>
    </w:p>
    <w:bookmarkEnd w:id="165"/>
    <w:bookmarkStart w:name="z189" w:id="166"/>
    <w:p>
      <w:pPr>
        <w:spacing w:after="0"/>
        <w:ind w:left="0"/>
        <w:jc w:val="both"/>
      </w:pPr>
      <w:r>
        <w:rPr>
          <w:rFonts w:ascii="Times New Roman"/>
          <w:b w:val="false"/>
          <w:i w:val="false"/>
          <w:color w:val="000000"/>
          <w:sz w:val="28"/>
        </w:rPr>
        <w:t>
      Н1. Соотношение результатов оценки уполномоченного органа с предыдущими результатами оценок СВА, проведенных на протяжении исследуемого периода</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 (при необходимости дать краткие пояснения)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ли по результатам исследования предыдущих блоков вопросов факты отклонений при сопоставлении оценки СВА и оценки уполномоченного органа, в частности: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организационной структуры СВА, его статуса и численности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независимости СВА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взаимосвязи с руководством государственного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вопросов кадровой политики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соблюдения этического кодекса государственными аудиторами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обеспечения и повышения качества внутреннего государственного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подготовки, оформления и утверждения внутренней нормативной правовой базы по внутреннему государственному аудиту, ее соответствия Стандартам внутреннего государственного аудита, этическому кодексу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порядка формирования и утверждения планов проведения внутренних государственных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 планов проведения внутренних государственных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организации внутренних государственных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проведения внутренних государственных аудитов и их документирования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достоверности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результативности внутренних государственных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реализации результатов внутренних государственных аудитов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мониторинга внедрения аудиторских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состояния устранения недостатков, выявленных уполномоченным органом во время предыдущей оценки качества внутреннего государственного аудита и внедрение предоставленных рекомендаций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состояния взаимодействия с уполномоченным органом в части реализации функции внутреннего государственного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состояния реализации требований и рекомендаций уполномоченного органа, предоставленных по результатам проведенных ним оценок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ответа" -</w:t>
            </w:r>
          </w:p>
        </w:tc>
      </w:tr>
    </w:tbl>
    <w:bookmarkStart w:name="z190" w:id="167"/>
    <w:p>
      <w:pPr>
        <w:spacing w:after="0"/>
        <w:ind w:left="0"/>
        <w:jc w:val="both"/>
      </w:pPr>
      <w:r>
        <w:rPr>
          <w:rFonts w:ascii="Times New Roman"/>
          <w:b w:val="false"/>
          <w:i w:val="false"/>
          <w:color w:val="000000"/>
          <w:sz w:val="28"/>
        </w:rPr>
        <w:t>
      Определение уровня оценки (Н1):</w:t>
      </w:r>
    </w:p>
    <w:bookmarkEnd w:id="167"/>
    <w:bookmarkStart w:name="z191" w:id="168"/>
    <w:p>
      <w:pPr>
        <w:spacing w:after="0"/>
        <w:ind w:left="0"/>
        <w:jc w:val="both"/>
      </w:pPr>
      <w:r>
        <w:rPr>
          <w:rFonts w:ascii="Times New Roman"/>
          <w:b w:val="false"/>
          <w:i w:val="false"/>
          <w:color w:val="000000"/>
          <w:sz w:val="28"/>
        </w:rPr>
        <w:t>
      низкий – 0% – 19% включительно;</w:t>
      </w:r>
    </w:p>
    <w:bookmarkEnd w:id="168"/>
    <w:bookmarkStart w:name="z192" w:id="169"/>
    <w:p>
      <w:pPr>
        <w:spacing w:after="0"/>
        <w:ind w:left="0"/>
        <w:jc w:val="both"/>
      </w:pPr>
      <w:r>
        <w:rPr>
          <w:rFonts w:ascii="Times New Roman"/>
          <w:b w:val="false"/>
          <w:i w:val="false"/>
          <w:color w:val="000000"/>
          <w:sz w:val="28"/>
        </w:rPr>
        <w:t>
      ниже среднего – 20 – 39% включительно;</w:t>
      </w:r>
    </w:p>
    <w:bookmarkEnd w:id="169"/>
    <w:bookmarkStart w:name="z193" w:id="170"/>
    <w:p>
      <w:pPr>
        <w:spacing w:after="0"/>
        <w:ind w:left="0"/>
        <w:jc w:val="both"/>
      </w:pPr>
      <w:r>
        <w:rPr>
          <w:rFonts w:ascii="Times New Roman"/>
          <w:b w:val="false"/>
          <w:i w:val="false"/>
          <w:color w:val="000000"/>
          <w:sz w:val="28"/>
        </w:rPr>
        <w:t>
      средний – 40% – 59% включительно;</w:t>
      </w:r>
    </w:p>
    <w:bookmarkEnd w:id="170"/>
    <w:bookmarkStart w:name="z194" w:id="171"/>
    <w:p>
      <w:pPr>
        <w:spacing w:after="0"/>
        <w:ind w:left="0"/>
        <w:jc w:val="both"/>
      </w:pPr>
      <w:r>
        <w:rPr>
          <w:rFonts w:ascii="Times New Roman"/>
          <w:b w:val="false"/>
          <w:i w:val="false"/>
          <w:color w:val="000000"/>
          <w:sz w:val="28"/>
        </w:rPr>
        <w:t>
      выше среднего – 60 % – 79% включительно;</w:t>
      </w:r>
    </w:p>
    <w:bookmarkEnd w:id="171"/>
    <w:bookmarkStart w:name="z195" w:id="172"/>
    <w:p>
      <w:pPr>
        <w:spacing w:after="0"/>
        <w:ind w:left="0"/>
        <w:jc w:val="both"/>
      </w:pPr>
      <w:r>
        <w:rPr>
          <w:rFonts w:ascii="Times New Roman"/>
          <w:b w:val="false"/>
          <w:i w:val="false"/>
          <w:color w:val="000000"/>
          <w:sz w:val="28"/>
        </w:rPr>
        <w:t>
      высокий – 80% – 100% включительно.</w:t>
      </w:r>
    </w:p>
    <w:bookmarkEnd w:id="172"/>
    <w:bookmarkStart w:name="z196" w:id="173"/>
    <w:p>
      <w:pPr>
        <w:spacing w:after="0"/>
        <w:ind w:left="0"/>
        <w:jc w:val="both"/>
      </w:pPr>
      <w:r>
        <w:rPr>
          <w:rFonts w:ascii="Times New Roman"/>
          <w:b w:val="false"/>
          <w:i w:val="false"/>
          <w:color w:val="000000"/>
          <w:sz w:val="28"/>
        </w:rPr>
        <w:t>
      Примечание:</w:t>
      </w:r>
    </w:p>
    <w:bookmarkEnd w:id="173"/>
    <w:bookmarkStart w:name="z197" w:id="174"/>
    <w:p>
      <w:pPr>
        <w:spacing w:after="0"/>
        <w:ind w:left="0"/>
        <w:jc w:val="both"/>
      </w:pPr>
      <w:r>
        <w:rPr>
          <w:rFonts w:ascii="Times New Roman"/>
          <w:b w:val="false"/>
          <w:i w:val="false"/>
          <w:color w:val="000000"/>
          <w:sz w:val="28"/>
        </w:rPr>
        <w:t>
      Расчет уровня оценки производится путем определения процентной доли условно положительных ответов из предложенного перечня вопросов. При наличии варианта "Нет ответа" данный вопрос не включается в совокупность вопросов оценки.</w:t>
      </w:r>
    </w:p>
    <w:bookmarkEnd w:id="174"/>
    <w:bookmarkStart w:name="z198" w:id="175"/>
    <w:p>
      <w:pPr>
        <w:spacing w:after="0"/>
        <w:ind w:left="0"/>
        <w:jc w:val="both"/>
      </w:pPr>
      <w:r>
        <w:rPr>
          <w:rFonts w:ascii="Times New Roman"/>
          <w:b w:val="false"/>
          <w:i w:val="false"/>
          <w:color w:val="000000"/>
          <w:sz w:val="28"/>
        </w:rPr>
        <w:t>
      Результаты оценки объективности проведения оценок СВА качества внутреннего государственного аудита (Н1)</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низкий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среднего (2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(3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выше среднего (4 балла)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высокий (5 баллов)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СВА в государственном органе слабая и недееспособная. Оценки СВА качества СВА не проводятся или проводятся неполно и некачественно, их результаты не подлежат сравнению.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СВА в государственном органе на начальной стадии развития. Оценки СВА качества СВА проводятся, однако, в большинстве случаев руководитель СВА еще не способен вполне объективно и правильно оценить качество реализации функции СВА.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СВА в государственном органе развивается, ощущается стремление к повышению ее качества. Оценки СВА качества СВА вполне объективные и лишь по отдельным аспектам деятельности установлено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СВА в государственном органе реализуется эффективно и результативно. Оценки СВА качества СВА отличает высокий уровень понимания всех аспектов СВА и объективность их оценок. Отклонения с оценкой уполномоченного органа практически отсутствуют. В то же время выводы по результатам оценок и рекомендации нуждаются в дополнениях и небольших корректировках.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 СВА в государственном органе развита, не нуждается в проведении оценок уполномоченного органа. Руководитель СВА в состоянии самостоятельно осуществить объективную оценку СВА, сделать выводы и подготовить рекомендации по обеспечению и повышению качества работы СВА.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Доказательная база:</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