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4b0b6" w14:textId="f44b0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приказы исполняющего обязанности Министра национальной экономики Республики Казахстан от 30 марта 2015 года № 280 "Об утверждении Правил биржевой торговли" и от 25 ноября 2015 года № 729 "Об утверждении Правил осуществления клиринговой деятельности по биржевым сделкам и Требований к аппаратно-программному комплексу клирингового центра товарной биржи"</w:t>
      </w:r>
    </w:p>
    <w:p>
      <w:pPr>
        <w:spacing w:after="0"/>
        <w:ind w:left="0"/>
        <w:jc w:val="both"/>
      </w:pPr>
      <w:r>
        <w:rPr>
          <w:rFonts w:ascii="Times New Roman"/>
          <w:b w:val="false"/>
          <w:i w:val="false"/>
          <w:color w:val="000000"/>
          <w:sz w:val="28"/>
        </w:rPr>
        <w:t>Приказ Министра торговли и интеграции Республики Казахстан от 22 сентября 2026 года № 264-НҚ. Зарегистрирован в Министерстве юстиции Республики Казахстан 22 сентября 2026 года № 39934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30 марта 2015 года № 280 "Об утверждении Правил биржевой торговли" (зарегистрирован в Реестре государственной регистрации нормативных правовых актов за № 10993)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биржевой торговли,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дополнить подпунктом 2-1) следующего содержания:</w:t>
      </w:r>
    </w:p>
    <w:bookmarkStart w:name="z8" w:id="3"/>
    <w:p>
      <w:pPr>
        <w:spacing w:after="0"/>
        <w:ind w:left="0"/>
        <w:jc w:val="both"/>
      </w:pPr>
      <w:r>
        <w:rPr>
          <w:rFonts w:ascii="Times New Roman"/>
          <w:b w:val="false"/>
          <w:i w:val="false"/>
          <w:color w:val="000000"/>
          <w:sz w:val="28"/>
        </w:rPr>
        <w:t>
      "2-1) в случае установления факта нарушения членом товарной биржи требований, установленных главой 9 настоящих Правил, при применении автоматизированных алгоритмов в процессе участия в биржевых торгах;";</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дополнить подпунктом 1-1) следующего содержания:</w:t>
      </w:r>
    </w:p>
    <w:bookmarkStart w:name="z10" w:id="4"/>
    <w:p>
      <w:pPr>
        <w:spacing w:after="0"/>
        <w:ind w:left="0"/>
        <w:jc w:val="both"/>
      </w:pPr>
      <w:r>
        <w:rPr>
          <w:rFonts w:ascii="Times New Roman"/>
          <w:b w:val="false"/>
          <w:i w:val="false"/>
          <w:color w:val="000000"/>
          <w:sz w:val="28"/>
        </w:rPr>
        <w:t>
      "1-1) устранение нарушения, послужившего основанием для приостановления аккредитации, и представление членом товарной биржи письменного разъяснения о принятых мерах по недопущению впредь нарушения требований, установленных главой 9 настоящих Правил, при применении автоматизированных алгоритмов в процессе участия в биржевых торгах;";</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дополнить подпунктом 5-1) следующего содержания:</w:t>
      </w:r>
    </w:p>
    <w:bookmarkStart w:name="z12" w:id="5"/>
    <w:p>
      <w:pPr>
        <w:spacing w:after="0"/>
        <w:ind w:left="0"/>
        <w:jc w:val="both"/>
      </w:pPr>
      <w:r>
        <w:rPr>
          <w:rFonts w:ascii="Times New Roman"/>
          <w:b w:val="false"/>
          <w:i w:val="false"/>
          <w:color w:val="000000"/>
          <w:sz w:val="28"/>
        </w:rPr>
        <w:t>
      "5-1) в случае повторного установления факта нарушения членом товарной биржи требований, установленных главой 9 настоящих Правил, при применении автоматизированных алгоритмов в процессе участия в биржевых торгах после возобновления аккредитации в соответствии с подпунктом 1-1) пункта 20 настоящих Правил;";</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дополнить подпунктом 5-2) следующего содержания:</w:t>
      </w:r>
    </w:p>
    <w:bookmarkStart w:name="z14" w:id="6"/>
    <w:p>
      <w:pPr>
        <w:spacing w:after="0"/>
        <w:ind w:left="0"/>
        <w:jc w:val="both"/>
      </w:pPr>
      <w:r>
        <w:rPr>
          <w:rFonts w:ascii="Times New Roman"/>
          <w:b w:val="false"/>
          <w:i w:val="false"/>
          <w:color w:val="000000"/>
          <w:sz w:val="28"/>
        </w:rPr>
        <w:t>
      "5-2) несоответствия заявки условиям графика биржевых торгов в части даты и (или) объема выставления биржевого товара;";</w:t>
      </w:r>
    </w:p>
    <w:bookmarkEnd w:id="6"/>
    <w:bookmarkStart w:name="z15" w:id="7"/>
    <w:p>
      <w:pPr>
        <w:spacing w:after="0"/>
        <w:ind w:left="0"/>
        <w:jc w:val="both"/>
      </w:pPr>
      <w:r>
        <w:rPr>
          <w:rFonts w:ascii="Times New Roman"/>
          <w:b w:val="false"/>
          <w:i w:val="false"/>
          <w:color w:val="000000"/>
          <w:sz w:val="28"/>
        </w:rPr>
        <w:t xml:space="preserve">
      части третью и четвертую </w:t>
      </w:r>
      <w:r>
        <w:rPr>
          <w:rFonts w:ascii="Times New Roman"/>
          <w:b w:val="false"/>
          <w:i w:val="false"/>
          <w:color w:val="000000"/>
          <w:sz w:val="28"/>
        </w:rPr>
        <w:t>пункта 301</w:t>
      </w:r>
      <w:r>
        <w:rPr>
          <w:rFonts w:ascii="Times New Roman"/>
          <w:b w:val="false"/>
          <w:i w:val="false"/>
          <w:color w:val="000000"/>
          <w:sz w:val="28"/>
        </w:rPr>
        <w:t xml:space="preserve"> исключить;</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317</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318</w:t>
      </w:r>
      <w:r>
        <w:rPr>
          <w:rFonts w:ascii="Times New Roman"/>
          <w:b w:val="false"/>
          <w:i w:val="false"/>
          <w:color w:val="000000"/>
          <w:sz w:val="28"/>
        </w:rPr>
        <w:t xml:space="preserve"> изложить в следующей редакции:</w:t>
      </w:r>
    </w:p>
    <w:bookmarkStart w:name="z18" w:id="8"/>
    <w:p>
      <w:pPr>
        <w:spacing w:after="0"/>
        <w:ind w:left="0"/>
        <w:jc w:val="both"/>
      </w:pPr>
      <w:r>
        <w:rPr>
          <w:rFonts w:ascii="Times New Roman"/>
          <w:b w:val="false"/>
          <w:i w:val="false"/>
          <w:color w:val="000000"/>
          <w:sz w:val="28"/>
        </w:rPr>
        <w:t>
      "318. Цены заявок указываются на условиях Инкотермс 2020.";</w:t>
      </w:r>
    </w:p>
    <w:bookmarkEnd w:id="8"/>
    <w:bookmarkStart w:name="z19" w:id="9"/>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25 ноября 2015 года № 729 "Об утверждении Правил осуществления клиринговой деятельности по биржевым сделкам и Требований к аппаратно-программному комплексу клирингового центра товарной биржи" (зарегистрирован в Реестре государственной регистрации нормативных правовых актов за № 12605) следующие изменение и дополнения:</w:t>
      </w:r>
    </w:p>
    <w:bookmarkEnd w:id="9"/>
    <w:bookmarkStart w:name="z20"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клиринговой деятельности по биржевым сделкам, утвержденных указанным приказом: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7-1</w:t>
      </w:r>
      <w:r>
        <w:rPr>
          <w:rFonts w:ascii="Times New Roman"/>
          <w:b w:val="false"/>
          <w:i w:val="false"/>
          <w:color w:val="000000"/>
          <w:sz w:val="28"/>
        </w:rPr>
        <w:t xml:space="preserve"> изложить в следующей редакции:</w:t>
      </w:r>
    </w:p>
    <w:bookmarkStart w:name="z22" w:id="11"/>
    <w:p>
      <w:pPr>
        <w:spacing w:after="0"/>
        <w:ind w:left="0"/>
        <w:jc w:val="both"/>
      </w:pPr>
      <w:r>
        <w:rPr>
          <w:rFonts w:ascii="Times New Roman"/>
          <w:b w:val="false"/>
          <w:i w:val="false"/>
          <w:color w:val="000000"/>
          <w:sz w:val="28"/>
        </w:rPr>
        <w:t>
      "7-1. После заключения договора, указанного в пункте 7 настоящих Правил, расчеты по сделкам, заключенным на биржевых торгах, учитываются в клиринговом регистре учета денежных средств.</w:t>
      </w:r>
    </w:p>
    <w:bookmarkEnd w:id="11"/>
    <w:bookmarkStart w:name="z23" w:id="12"/>
    <w:p>
      <w:pPr>
        <w:spacing w:after="0"/>
        <w:ind w:left="0"/>
        <w:jc w:val="both"/>
      </w:pPr>
      <w:r>
        <w:rPr>
          <w:rFonts w:ascii="Times New Roman"/>
          <w:b w:val="false"/>
          <w:i w:val="false"/>
          <w:color w:val="000000"/>
          <w:sz w:val="28"/>
        </w:rPr>
        <w:t>
      Денежные средства члена товарной биржи, зачисленные на текущий счет клирингового центра товарной биржи в расчетной организации, отражаются клиринговым центром товарной биржи в клиринговом регистре учета денежных средств не позднее одного рабочего дня со дня их зачисления.</w:t>
      </w:r>
    </w:p>
    <w:bookmarkEnd w:id="12"/>
    <w:bookmarkStart w:name="z24" w:id="13"/>
    <w:p>
      <w:pPr>
        <w:spacing w:after="0"/>
        <w:ind w:left="0"/>
        <w:jc w:val="both"/>
      </w:pPr>
      <w:r>
        <w:rPr>
          <w:rFonts w:ascii="Times New Roman"/>
          <w:b w:val="false"/>
          <w:i w:val="false"/>
          <w:color w:val="000000"/>
          <w:sz w:val="28"/>
        </w:rPr>
        <w:t>
      Клиринговый центр товарной биржи не распоряжается денежными средствами, внесенными членами товарной биржи в качестве биржевого обеспечения, за исключением случаев перечисления суммы биржевого обеспечения, виновной стороны в пользу пострадавшей стороны.";</w:t>
      </w:r>
    </w:p>
    <w:bookmarkEnd w:id="13"/>
    <w:bookmarkStart w:name="z25" w:id="14"/>
    <w:p>
      <w:pPr>
        <w:spacing w:after="0"/>
        <w:ind w:left="0"/>
        <w:jc w:val="both"/>
      </w:pPr>
      <w:r>
        <w:rPr>
          <w:rFonts w:ascii="Times New Roman"/>
          <w:b w:val="false"/>
          <w:i w:val="false"/>
          <w:color w:val="000000"/>
          <w:sz w:val="28"/>
        </w:rPr>
        <w:t>
      дополнить пунктами 7-3 и 7-4 следующего содержания:</w:t>
      </w:r>
    </w:p>
    <w:bookmarkEnd w:id="14"/>
    <w:bookmarkStart w:name="z26" w:id="15"/>
    <w:p>
      <w:pPr>
        <w:spacing w:after="0"/>
        <w:ind w:left="0"/>
        <w:jc w:val="both"/>
      </w:pPr>
      <w:r>
        <w:rPr>
          <w:rFonts w:ascii="Times New Roman"/>
          <w:b w:val="false"/>
          <w:i w:val="false"/>
          <w:color w:val="000000"/>
          <w:sz w:val="28"/>
        </w:rPr>
        <w:t>
      "7-3. При наличии заявления, подписанного сторонами биржевой сделки об отсутствии взаимных требований по такой биржевой сделке либо ее части и согласии на возврат биржевого обеспечения, либо ее части, клиринговый центр товарной биржи осуществляет возврат биржевого обеспечения до истечения срока исполнения обязательств по биржевой сделке не позднее трех рабочих дней со дня получения указанного заявления.</w:t>
      </w:r>
    </w:p>
    <w:bookmarkEnd w:id="15"/>
    <w:bookmarkStart w:name="z27" w:id="16"/>
    <w:p>
      <w:pPr>
        <w:spacing w:after="0"/>
        <w:ind w:left="0"/>
        <w:jc w:val="both"/>
      </w:pPr>
      <w:r>
        <w:rPr>
          <w:rFonts w:ascii="Times New Roman"/>
          <w:b w:val="false"/>
          <w:i w:val="false"/>
          <w:color w:val="000000"/>
          <w:sz w:val="28"/>
        </w:rPr>
        <w:t>
      Возврат биржевого обеспечения, в соответствии с настоящим пунктом, не влечет прекращения или изменения обязательств сторон по биржевой сделке.</w:t>
      </w:r>
    </w:p>
    <w:bookmarkEnd w:id="16"/>
    <w:bookmarkStart w:name="z28" w:id="17"/>
    <w:p>
      <w:pPr>
        <w:spacing w:after="0"/>
        <w:ind w:left="0"/>
        <w:jc w:val="both"/>
      </w:pPr>
      <w:r>
        <w:rPr>
          <w:rFonts w:ascii="Times New Roman"/>
          <w:b w:val="false"/>
          <w:i w:val="false"/>
          <w:color w:val="000000"/>
          <w:sz w:val="28"/>
        </w:rPr>
        <w:t>
      7-4. Денежные средства, зачисленные на текущий счет клирингового центра товарной биржи в расчетной организации в счет исполнения денежных обязательств покупателя по биржевой сделке, подлежат перечислению клиринговым центром товарной биржи продавцу не позднее одного рабочего дня со дня их зачисления.".</w:t>
      </w:r>
    </w:p>
    <w:bookmarkEnd w:id="17"/>
    <w:bookmarkStart w:name="z29" w:id="18"/>
    <w:p>
      <w:pPr>
        <w:spacing w:after="0"/>
        <w:ind w:left="0"/>
        <w:jc w:val="both"/>
      </w:pPr>
      <w:r>
        <w:rPr>
          <w:rFonts w:ascii="Times New Roman"/>
          <w:b w:val="false"/>
          <w:i w:val="false"/>
          <w:color w:val="000000"/>
          <w:sz w:val="28"/>
        </w:rPr>
        <w:t>
      3. Департаменту развития внутренней торговли Министерства торговли и интеграции Республики Казахстан в установленном законодательством Республики Казахстан порядке обеспечить:</w:t>
      </w:r>
    </w:p>
    <w:bookmarkEnd w:id="18"/>
    <w:bookmarkStart w:name="z30" w:id="19"/>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9"/>
    <w:bookmarkStart w:name="z31" w:id="20"/>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 после дня его первого официального опубликования.</w:t>
      </w:r>
    </w:p>
    <w:bookmarkEnd w:id="20"/>
    <w:bookmarkStart w:name="z32" w:id="21"/>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торговли и интеграции Республики Казахстан.</w:t>
      </w:r>
    </w:p>
    <w:bookmarkEnd w:id="21"/>
    <w:bookmarkStart w:name="z33" w:id="22"/>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торговли и интеграции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bookmarkStart w:name="z35" w:id="23"/>
      <w:r>
        <w:rPr>
          <w:rFonts w:ascii="Times New Roman"/>
          <w:b w:val="false"/>
          <w:i w:val="false"/>
          <w:color w:val="000000"/>
          <w:sz w:val="28"/>
        </w:rPr>
        <w:t>
      "СОГЛАСОВАН"</w:t>
      </w:r>
    </w:p>
    <w:bookmarkEnd w:id="23"/>
    <w:p>
      <w:pPr>
        <w:spacing w:after="0"/>
        <w:ind w:left="0"/>
        <w:jc w:val="both"/>
      </w:pPr>
      <w:r>
        <w:rPr>
          <w:rFonts w:ascii="Times New Roman"/>
          <w:b w:val="false"/>
          <w:i w:val="false"/>
          <w:color w:val="000000"/>
          <w:sz w:val="28"/>
        </w:rPr>
        <w:t>Агентство по защите</w:t>
      </w:r>
    </w:p>
    <w:p>
      <w:pPr>
        <w:spacing w:after="0"/>
        <w:ind w:left="0"/>
        <w:jc w:val="both"/>
      </w:pPr>
      <w:r>
        <w:rPr>
          <w:rFonts w:ascii="Times New Roman"/>
          <w:b w:val="false"/>
          <w:i w:val="false"/>
          <w:color w:val="000000"/>
          <w:sz w:val="28"/>
        </w:rPr>
        <w:t>и 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6" w:id="24"/>
      <w:r>
        <w:rPr>
          <w:rFonts w:ascii="Times New Roman"/>
          <w:b w:val="false"/>
          <w:i w:val="false"/>
          <w:color w:val="000000"/>
          <w:sz w:val="28"/>
        </w:rPr>
        <w:t>
      "СОГЛАСОВАН"</w:t>
      </w:r>
    </w:p>
    <w:bookmarkEnd w:id="24"/>
    <w:p>
      <w:pPr>
        <w:spacing w:after="0"/>
        <w:ind w:left="0"/>
        <w:jc w:val="both"/>
      </w:pPr>
      <w:r>
        <w:rPr>
          <w:rFonts w:ascii="Times New Roman"/>
          <w:b w:val="false"/>
          <w:i w:val="false"/>
          <w:color w:val="000000"/>
          <w:sz w:val="28"/>
        </w:rPr>
        <w:t>Министерство сельского</w:t>
      </w:r>
    </w:p>
    <w:p>
      <w:pPr>
        <w:spacing w:after="0"/>
        <w:ind w:left="0"/>
        <w:jc w:val="both"/>
      </w:pPr>
      <w:r>
        <w:rPr>
          <w:rFonts w:ascii="Times New Roman"/>
          <w:b w:val="false"/>
          <w:i w:val="false"/>
          <w:color w:val="000000"/>
          <w:sz w:val="28"/>
        </w:rPr>
        <w:t xml:space="preserve">хозяйства </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