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377f49" w14:textId="0377f4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дополнения в совместный приказ Заместителя Премьер – Министра Республики Казахстан – Министра оборонной и аэрокосмической промышленности Республики Казахстан от 29 января 2019 года № 13/НҚ и Министра национальной экономики Республики Казахстан от 29 января 2019 года № 12 "Об утверждении критериев оценки степени риска и проверочных листов в сфере информатизации в части обеспечения информационной безопасности"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и.о. Министра искусственного интеллекта и цифрового развития Республики Казахстан от 10 сентября 2026 года № 550/НҚ и Заместителя Премьер-Министра – Министра национальной экономики Республики Казахстан от 11 сентября 2026 года № 145. Зарегистрирован в Министерстве юстиции Республики Казахстан 18 сентября 2026 года № 39905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совместный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 – Министра Республики Казахстан – Министра оборонной и аэрокосмической промышленности Республики Казахстан от 29 января 2019 года № 13/НҚ и Министра национальной экономики Республики Казахстан от 29 января 2019 года №12 "Об утверждении критериев оценки степени риска и проверочных листов сфере информатизации в части обеспечения информационной безопасности" (зарегистрирован в Реестре государственной регистрации нормативных правовых актов № 18269) следующие изменения и дополнение: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"3) критерии оценки степени риска в сфере цифровизации в части кибербезопасности,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4) следующего содержания: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"4) проверочный лист в сфере цифровизации в части кибербезопасности в отношении государственных юридических лиц, субъектов квазигосударственного сектора, собственников и владельцев негосударственных цифровых систем, интегрируемых с цифровыми системами государственных органов или предназначенных для формирования государственных цифровых ресурсов, центров обеспечения кибербезопасности, а также собственников и владельцев критически важных цифровых объектов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приложением 4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информационной безопасности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совместного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статистике и специальным учетам Генеральной прокуратуры Республики Казахстан для размещения в информационной системе "Единый реестр субъектов и объектов проверок".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совместного приказа возложить на курирующего вице-министра цифрового развития, инноваций и аэрокосмической промышленности Республики Казахстан.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1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8040"/>
              <w:gridCol w:w="4340"/>
            </w:tblGrid>
            <w:tr>
              <w:trPr>
                <w:trHeight w:val="30" w:hRule="atLeast"/>
              </w:trPr>
              <w:tc>
                <w:tcPr>
                  <w:tcW w:w="80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 xml:space="preserve">Заместитель Премьер-Министра – 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 xml:space="preserve">Министр национальной экономики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 xml:space="preserve">Республики Казахстан 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  <w:tc>
                <w:tcPr>
                  <w:tcW w:w="43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__________С. Жумангарин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0" w:type="auto"/>
              <w:tblCellSpacing w:w="0" w:type="auto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  <w:tblLayout w:type="fixed"/>
            </w:tblPr>
            <w:tblGrid>
              <w:gridCol w:w="8040"/>
              <w:gridCol w:w="4340"/>
            </w:tblGrid>
            <w:tr>
              <w:trPr>
                <w:trHeight w:val="30" w:hRule="atLeast"/>
              </w:trPr>
              <w:tc>
                <w:tcPr>
                  <w:tcW w:w="80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 xml:space="preserve">Исполняющий обязанности министра </w:t>
                  </w:r>
                </w:p>
                <w:p>
                  <w:pPr>
                    <w:spacing w:after="20"/>
                    <w:ind w:left="20"/>
                    <w:jc w:val="both"/>
                  </w:pP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>искусственного интеллекта и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 xml:space="preserve">цифрового развития </w:t>
                  </w:r>
                </w:p>
                <w:p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b/>
                      <w:i w:val="false"/>
                      <w:color w:val="000000"/>
                      <w:sz w:val="20"/>
                    </w:rPr>
                    <w:t xml:space="preserve">Республики Казахстан 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  <w:p>
                  <w:pPr>
                    <w:spacing w:after="0"/>
                    <w:ind w:left="0"/>
                    <w:jc w:val="left"/>
                  </w:pPr>
                </w:p>
              </w:tc>
              <w:tc>
                <w:tcPr>
                  <w:tcW w:w="43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  <w:r>
                    <w:rPr>
                      <w:rFonts w:ascii="Times New Roman"/>
                      <w:b w:val="false"/>
                      <w:i/>
                      <w:color w:val="000000"/>
                      <w:sz w:val="20"/>
                    </w:rPr>
                    <w:t>__________Р. Коняшкин</w:t>
                  </w: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  <w:tr>
              <w:trPr>
                <w:trHeight w:val="30" w:hRule="atLeast"/>
              </w:trPr>
              <w:tc>
                <w:tcPr>
                  <w:tcW w:w="8040" w:type="dxa"/>
                  <w:tcBorders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>
                  <w:pPr>
                    <w:spacing w:after="0"/>
                    <w:ind w:left="0"/>
                    <w:jc w:val="left"/>
                  </w:pPr>
                  <w:r>
                    <w:rPr>
                      <w:rFonts w:ascii="Times New Roman"/>
                      <w:b w:val="false"/>
                      <w:i w:val="false"/>
                      <w:color w:val="000000"/>
                      <w:sz w:val="20"/>
                    </w:rPr>
                    <w:t>
</w:t>
                  </w:r>
                </w:p>
              </w:tc>
            </w:tr>
          </w:tbl>
          <w:p/>
        </w:tc>
      </w:tr>
    </w:tbl>
    <w:p>
      <w:pPr>
        <w:spacing w:after="0"/>
        <w:ind w:left="0"/>
        <w:jc w:val="both"/>
      </w:pPr>
      <w:bookmarkStart w:name="z21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2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сентября 2026 года № 145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искусственного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интеллекта и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550/НҚ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–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оборонной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2019 года № 13/НҚ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экономики Республики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12</w:t>
            </w:r>
          </w:p>
        </w:tc>
      </w:tr>
    </w:tbl>
    <w:bookmarkStart w:name="z25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Критерии оценки степени риска в сфере цифровизации в части кибербезопасности</w:t>
      </w:r>
    </w:p>
    <w:bookmarkEnd w:id="16"/>
    <w:bookmarkStart w:name="z26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7"/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Критерии оценки степени риска в сфере цифровизации в части кибербезопасности (далее – Критерии)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141, </w:t>
      </w:r>
      <w:r>
        <w:rPr>
          <w:rFonts w:ascii="Times New Roman"/>
          <w:b w:val="false"/>
          <w:i w:val="false"/>
          <w:color w:val="000000"/>
          <w:sz w:val="28"/>
        </w:rPr>
        <w:t>статьи 143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 (далее – Кодекс),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22 июня 2022 года № 48 "Об утверждении Правил формирования регулирующими государственными органами системы оценки и управления рисками и о внесении изменений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31 июля 2018 года № 3 "Об утверждении Правил формирования государственными органами системы оценки рисков и формы проверочных листов" (зарегистрирован в Реестре государственной регистрации нормативных правовых актов под № 31148) и формой проверочного листа,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национальной экономики Республики Казахстан от 31 июля 2018 года № 3 (зарегистрирован в Реестре государственной регистрации нормативных правовых актов под № 17371).</w:t>
      </w:r>
    </w:p>
    <w:bookmarkEnd w:id="18"/>
    <w:bookmarkStart w:name="z28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критериях используются следующие понятия:</w:t>
      </w:r>
    </w:p>
    <w:bookmarkEnd w:id="19"/>
    <w:bookmarkStart w:name="z2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грубое нарушение – не соблюдение требований нормативных правовых актов Республики Казахстан в сфере цифровизации в части кибербезопасности приведшее или которое может привести к невозможности предоставления услуг, значительным негативным последствиям для цифровых ресурсов, цифровых систем и других цифровых объектов;</w:t>
      </w:r>
    </w:p>
    <w:bookmarkEnd w:id="20"/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значительное нарушение – не соблюдение требований нормативных правовых актов Республики Казахстан в сфере цифровизации в части кибербезопасности, приведшее или которое может привести к существенному ограничению предоставления услуг, существенному ухудшению ситуации или существенным негативным последствиям для цифровых ресурсов, цифровых систем и других цифровых объектов, наличие двух или более подтвержденных жалоб или обращений в сфере цифровизации в части кибербезопасности; </w:t>
      </w:r>
    </w:p>
    <w:bookmarkEnd w:id="21"/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незначительное нарушение – не соблюдение требований нормативных правовых актов Республики Казахстан в сфере цифровизации в части кибербезопасности, приведшее или которое может привести к несущественным инцидентам, не оказывающим влияние на цифровые ресурсы, цифровые системы и другие цифровые объекты;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проверочный лист – перечень требований, предъявляемых к деятельности субъектов (объектов) контроля, несоблюдение которых влечет за собой угрозу законным интересам физических и юридических лиц, государства;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риск – вероятность причинения вреда в результате деятельности субъекта контроля законным интересам физических и юридических лиц, имущественным интересам государства с учетом степени тяжести его последствий;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система оценки и управления рисками –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контроля;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субъекты контроля в сфере цифровизации в части кибербезопасности (далее – субъекты контроля) – субъекты квазигосударственного сектора, собственники и владельцы негосударственных цифровых систем, интегрируемых с цифровыми системами государственных органов или предназначенных для формирования государственных цифровых ресурсов, центры обеспечения кибербезопасности, а также собственники и владельцы критически важных цифровых объектов;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Критерии оценки степени риска для профилактического контроля с посещением субъекта (объекта) контроля формируются посредством объективных и субъективных критериев.</w:t>
      </w:r>
    </w:p>
    <w:bookmarkEnd w:id="29"/>
    <w:bookmarkStart w:name="z39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Объективные критерии</w:t>
      </w:r>
    </w:p>
    <w:bookmarkEnd w:id="30"/>
    <w:bookmarkStart w:name="z40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 первом этапе по объективным критериям субъекты контроля распределяются по трем степеням риска: высокая, средняя и низкая.</w:t>
      </w:r>
    </w:p>
    <w:bookmarkEnd w:id="31"/>
    <w:bookmarkStart w:name="z41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 субъектам высокой степени риска относятся собственники и владельцы критических важных цифровых объектов.</w:t>
      </w:r>
    </w:p>
    <w:bookmarkEnd w:id="32"/>
    <w:bookmarkStart w:name="z42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субъектам средней степени риска относятся субъекты квазигосударственного сектора и собственники и владельцы негосударственных цифровых систем, интегрируемых с цифровыми системами государственных органов или предназначенных для формирования государственных цифровых ресурсов. </w:t>
      </w:r>
    </w:p>
    <w:bookmarkEnd w:id="33"/>
    <w:bookmarkStart w:name="z4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субъектам низкой степени риска относятся центры обеспечения кибербезопасности.</w:t>
      </w:r>
    </w:p>
    <w:bookmarkEnd w:id="34"/>
    <w:bookmarkStart w:name="z44" w:id="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Субъективные критерии</w:t>
      </w:r>
    </w:p>
    <w:bookmarkEnd w:id="35"/>
    <w:bookmarkStart w:name="z4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Субъективные критерии разработаны на основании требований, перечисленных в проверочных листах (далее – требования) несоблюдение которых в соответствии с критериями оценки степени риска соответствуют определенной степени нарушения. В отношении каждого требования из проверочных листов определяется степень нарушения согласно приложению к настоящим критериям. </w:t>
      </w:r>
    </w:p>
    <w:bookmarkEnd w:id="36"/>
    <w:bookmarkStart w:name="z4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Определение субъективных критериев осуществляется с применением следующих этапов:</w:t>
      </w:r>
    </w:p>
    <w:bookmarkEnd w:id="37"/>
    <w:bookmarkStart w:name="z4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базы данных и сбор информации;</w:t>
      </w:r>
    </w:p>
    <w:bookmarkEnd w:id="38"/>
    <w:bookmarkStart w:name="z4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информации и оценка рисков.</w:t>
      </w:r>
    </w:p>
    <w:bookmarkEnd w:id="39"/>
    <w:bookmarkStart w:name="z49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Формирование базы данных и сбор информации необходимы для выявления субъектов (объектов) контроля, нарушающих законодательство Республики Казахстан в сфере цифровизации в части кибербезопасности. </w:t>
      </w:r>
    </w:p>
    <w:bookmarkEnd w:id="40"/>
    <w:bookmarkStart w:name="z50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Для оценки степени рисков по субъективным критериям используются результаты предыдущего профилактического контроля с посещением субъектов (объектов) контроля и проверки;</w:t>
      </w:r>
    </w:p>
    <w:bookmarkEnd w:id="41"/>
    <w:bookmarkStart w:name="z51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Определение степени риска по каждому информационному источнику определяется следующим образом. </w:t>
      </w:r>
    </w:p>
    <w:bookmarkEnd w:id="42"/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 невыполненное требование грубой степени приравнивается к показателю 100 и это является основанием для проведения профилактического контроля с посещением субъекта (объекта) контроля.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нарушение требований грубой степени не выявлено, то для определения показателя степени риска рассчитывается суммарный показатель требований значительной и незначительной степени.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значительных нарушений применяется коэффициент 0,7 и данный показатель рассчитывается по следующей формуле: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SР3 = (SР2 х 100/ SР1) х 0,7, где:</w:t>
      </w:r>
    </w:p>
    <w:bookmarkEnd w:id="46"/>
    <w:bookmarkStart w:name="z56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SР3 - показатель значительных нарушений;</w:t>
      </w:r>
    </w:p>
    <w:bookmarkEnd w:id="47"/>
    <w:bookmarkStart w:name="z57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SР1 - требуемое количество значительных нарушений;</w:t>
      </w:r>
    </w:p>
    <w:bookmarkEnd w:id="48"/>
    <w:bookmarkStart w:name="z58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SР2 - количество выявленных значительных нарушений.</w:t>
      </w:r>
    </w:p>
    <w:bookmarkEnd w:id="49"/>
    <w:bookmarkStart w:name="z59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определении показателя незначительных нарушений применяется коэффициент 0,3 и данный показатель рассчитывается по следующей формуле:</w:t>
      </w:r>
    </w:p>
    <w:bookmarkEnd w:id="50"/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SРH = (SР2 х 100/ SР1) х 0,3, где: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SРH - показатель незначительных нарушений;</w:t>
      </w:r>
    </w:p>
    <w:bookmarkEnd w:id="52"/>
    <w:bookmarkStart w:name="z62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SР1 - требуемое количество незначительных нарушений;</w:t>
      </w:r>
    </w:p>
    <w:bookmarkEnd w:id="53"/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SР2 - количество выявленных незначительных нарушений.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 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= SР3+ SРH где: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 - показатель степени риска по нарушениям;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SР3 - показатель значительных нарушений;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SРH - показатель незначительных нарушений.</w:t>
      </w:r>
    </w:p>
    <w:bookmarkEnd w:id="59"/>
    <w:bookmarkStart w:name="z69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показателям степени риска субъект контроля относится:</w:t>
      </w:r>
    </w:p>
    <w:bookmarkEnd w:id="60"/>
    <w:bookmarkStart w:name="z70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высокой степени риска – при показателе степени риска от 71 до 100 включительно и в отношении него проводится профилактический контроль с посещением субъекта контроля;</w:t>
      </w:r>
    </w:p>
    <w:bookmarkEnd w:id="61"/>
    <w:bookmarkStart w:name="z71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отнесенной к высокой степени риска – при показателе степени риска от 0 до 71 включительно и в отношении него не проводится профилактический контроль с посещением субъекта контроля.</w:t>
      </w:r>
    </w:p>
    <w:bookmarkEnd w:id="62"/>
    <w:bookmarkStart w:name="z72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Кратность проведения профилактического контроля с посещением субъекта (объекта) контроля составляет не чаще одного раза в полугодие.</w:t>
      </w:r>
    </w:p>
    <w:bookmarkEnd w:id="63"/>
    <w:bookmarkStart w:name="z73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Профилактический контроль с посещением субъекта контроля проводятся на основании полугодовых списков профилактического контроля с посещением субъекта контроля.</w:t>
      </w:r>
    </w:p>
    <w:bookmarkEnd w:id="64"/>
    <w:bookmarkStart w:name="z74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Списки профилактического контроля с посещением субъекта контроля составляются с учетом приоритетности субъектов контроля с наибольшим показателем степени риска по субъективным критериям.</w:t>
      </w:r>
    </w:p>
    <w:bookmarkEnd w:id="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Критериям оценки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степени риска 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сфере цифровизации в части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кибербезопасности</w:t>
            </w:r>
          </w:p>
        </w:tc>
      </w:tr>
    </w:tbl>
    <w:bookmarkStart w:name="z76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субъективных критериев для определения степени риска по субъективным критериям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Критерии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Степень нарушения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Результаты предыдущих проверок и профилактического контроля с посещением (степень тяжести устанавливается при несоблюдении нижеперечисленных требований)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осуществлению подключения локальных, ведомственных и корпоративных сетей телекоммуникаций государственных органов, местных исполнительных органов (далее-МИО), государственных юридических лиц, субъектов квазигосударственного сектора, а также владельцев критически важные цифровые объекты (далее-КВЦО), за исключением банков второго уровня и объектов среднего образования сельских населенных пунктов, использующих спутниковые (космические) каналы связи для доступа к Интернету, операторами связи через единый шлюз доступа к Интернету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требований по оповещению владельцем критически важных цифровых объектов Национального координационного центра кибербезопасности об инцидентах кибербезопасности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применению средств: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идентификации, аутентификации и управления доступом пользователей;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диагностических и конфигурационных портов;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сегментирования локальной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логического сегментирования локальной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сетевыми соединениями;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межсетевого экранирования;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сокрытия внутреннего адресного пространства локальной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 целостности данных, сообщений и конфигураций;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криптографической защиты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подключению к системе мониторинга обеспечения кибербезопасности, защиты и безопасного функционирования при эксплуатации цифровых объектов "цифрового правительства" первого и второго классов в соответствии с классификатором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наличию антивирусных средств, обновлений операционных систем на рабочих станциях, подключенных к сети Интернет при организации доступа к Интернету из локальных сетей внешнего контура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подразделения кибербезопасности, являющееся структурным подразделением, обособленным от других структурных подразделений, занимающихся вопросами создания, сопровождения и развития цифровых объектов, или определение должностного лица, ответственного за обеспечение кибербезопасности, с прохождением специализированных курсов в сфере обеспечения кибербезопасности не реже одного раза в три года с выдачей сертификата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требования по наличию и соответствию нормативно-технической документации (далее – ТД) по обеспечению кибербезопасности, в виде четырехуровневой системы документированных правил, процедур, практических приемов или руководящих принципов, которыми руководствуется государственные органы (далее-ГО), МИО или организация в своей деятельности. </w:t>
            </w:r>
          </w:p>
          <w:bookmarkEnd w:id="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ТД по обеспечению кибербезопасности разрабатывается на казахском и русском языках, утверждается правовым актом государственных органов и МИО или организации и доводится до сведения всех служащих ГО, МИО или работников организации. ТД по обеспечению кибербезопасности пересматривается с целью анализа и актуализации изложенной в них информации не реже одного раза в два 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Политика кибербезопасности ГО, МИО или организации является документом первого уровня и определяет цели, задачи, руководящие принципы и практические приемы в области обеспечения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 перечень документов второго уровня входят документы, детализирующие требования политики кибербезопасности ГО, МИО или организации,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методика оценки рисков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правила идентификации, классификации, маркировки, паспортизации активов, связанных со средствами обработки информации и их инвентаризации;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правила проведения внутреннего аудита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правила использования средств криптографической защиты информации (далее-СКЗИ);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правила организации процедуры аутентификации и разграничения прав доступа к цифровым ресурсам;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правила организации антивирусного контроля, использования мобильных устройств, носителей информации, Интернета и электронной почты;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правила организации физической защиты, безопасной среды функционирования и обеспечения непрерывной работы активов, связанных со средствами обработки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Документы третьего уровня содержат описание процессов и процедур обеспечения кибербезопасности,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каталог угроз (рисков)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план обработки угроз (рисков)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план мероприятий по обеспечению непрерывной работы и восстановлению работоспособности активов, связанных со средствами обработки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руководство администратора по сопровождению цифрового объекта, резервному копированию и восстановлению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инструкцию о порядке действий пользователей по реагированию на инциденты кибербезопасности и во внештатных (кризисных) ситуациях.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Перечень документов четвертого уровня включает рабочие формы, журналы, заявки, протоколы и другие документы, в том числе электронные, используемые для регистрации и подтверждения выполненных процедур и работ,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журнал регистрации инцидентов кибербезопасности и учета внештатных ситуаций;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журнал посещения серверных помещений;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отчет о проведении оценки уязвимости сетевых ресурсов;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журнал учета кабельных соединений;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журнал учета резервных копий (резервного копирования, восстановления), тестирования резервных копий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при доступе к цифровым объектам первого и второго классов в соответствии с классификатором по применению многофакторной аутентификации, в том числе с использованием цифровых сертификатов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внесению в должностные инструкции и функциональные обязанности по обеспечению кибербезопасности и обязательств по исполнению требований ТД по обеспечению кибербезопасности служащих ГО, МИО или работников организации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применению СКЗИ для цифровых объектов: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первого класса в соответствии с классификатором – третьего уровня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второго класса в соответствии с классификатором – второго уровня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третьего класса в соответствии с классификатором – первого уровня 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собственником или владельцем объекта цифровой инфраструктуры "цифрового правительства", а также оператором "цифрового правительства" хранение государственных цифровых ресурсов (далее – ЦР), содержащихся в объектах цифровой инфраструктуры "цифрового правительства".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для обеспечения кибербезопасности ЦР по применению систем управления содержимым (контентом), выполняющая: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санкционирование операций размещения, изменения и удаления в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регистрацию авторства при размещении, изменении и удалении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проверку загружаемого ЦР на наличие вредоносного кода;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аудит безопасности исполняемого кода и скриптов;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целостности размещенного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ведение журнала изменений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аномальной активности пользователей и программных роботов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применению регистрационных свидетельств для проверки подлинности доменного имени и криптографической защиты содержимого сеанса связи с использованием СКЗИ для обеспечения кибербезопасности ЦР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Соблюдения требований по управлению идентификацией при использовании технологии виртуализации: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аутентификация клиентов цифровых услуг и привилегированных пользователей;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федеративной идентификации пользователей в пределах одной технологической платформы;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сохранения информации об аутентификации после удаления идентификатора пользователя;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применения средств контроля процедур назначения профилей полномочий пользователя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проведению аудита событий кибербезопасности при использовании технологии виртуализации: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обязательность и регулярность процедур, определяемых в ТД по обеспечению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процедур аудита для всех операционных систем, клиентских виртуальных машин, инфраструктуры сетевых компонентов;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ведения журнала регистрации событий и хранения в недоступной для администратора системе хранения;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проверки правильности работы системы ведения журнала регистрации событий;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определения длительности хранения журналов регистрации событий в ТД по обеспечению кибербезопасности.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регистрации событий кибербезопасности при использовании технологии виртуализации: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журналирования действий администраторов;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применения системы мониторинга инцидентов и событий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оповещения на основе автоматического распознавания критического события или инцидента кибербезопасности.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исполнению процедур сетевого и системного администрирования: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сохранности образов виртуальных машин, контроля целостности операционной системы, приложений, сетевой конфигурации, программных обеспечений (далее – ПО) и данных ГО или организации на наличие вредоносных сигнатур;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отделения аппаратной платформы от операционной системы виртуальной машины c целью исключения доступа внешних пользователей к аппаратной части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обеспечению системы хранения данных системой резервного копирования.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применению программно-технических средств защиты информации, в том числе криптографического шифрования, с использованием СКЗИ при организации выделенного канала связи, объединяющего локальные сети.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исключению сопряжения локальной сети (далее – ЛС) внутреннего контура и ЛС внешнего контура цифровые субъекты (далее – ЦС) между собой, за исключением организованных каналов связи с использованием СКЗИ, для учреждений Республики Казахстан, находящихся за границей или организованных с применением экранированной подсети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требований по использованию 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ведомственной электронной почты, службы мгновенных сообщений и иных сервисов;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электронной почты, службы мгновенных сообщений и иных сервисов, центры управления и сервера которых физически размещены на территории Республики Казахстан, если иное не установлено уполномоченным органом, для осуществления оперативного информационного обмена в электронной форме служащими ГО, МИО и работниками государственных юридических лиц, субъектами квазигосударственного сектора, а также владельцами критически важных цифровых объектов при исполнении ими служебных обязанностей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бесперебойного электропитания для активного оборудования локальных сетей.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физическому отключению неиспользуемых портов кабельной системы локальной сети от активного оборудования.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применению межсетевого экранирования.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следующих требований по серверному помещению: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Наличие документирования при техническом сопровождении оборудования, установленного в серверном помещении: обслуживание оборудования; устранение проблем, возникающих при работе аппаратно-программного обеспечения; факты сбоев и отказов, а также результаты восстановительных работ; послегарантийное обслуживание критически важного оборудования по истечении гарантийного срока обслуживания.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Наличие системы контроля и управления доступом обеспечивающие санкционированный вход и санкционированный выход;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в актуальном состоянии списка лиц, авторизованных для осуществления сопровождения объектов цифровой инфраструктуры;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Наличие системы обеспечения микроклимата;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Наличие системы охранной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Наличие системы видеонаблюдения;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Наличие системы пожарной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Наличие системы пожаротушения;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Наличие системы гарантированного электропитания;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Наличие системы заземления;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Соблюдение требования по проведению на регулярной основе инвентаризации серверного оборудования с проверкой его конфигурации;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Соблюдение требования по размещению серверного оборудования аппаратно-программного комплекса системы хранения данных в серверном помещении;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Соблюдение требования по расположению серверного помещения в отдельных, непроходных помещениях без оконных проемов. В случае наличия оконных проемов, они закрываются или заделываются негорючими материалами. Для поверхности стен, потолков и пола применяются материалы, не выделяющие и не накапливающие пыль;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Наличие фальшпола и (или) фальшпотолка для размещения кабельных систем и инженерных коммуникаций;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Соблюдение требования по исключению прохождение любых транзитных коммуникаций;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16) Соблюдение требования по расположению основных и резервных серверных помещений на безопасном расстоянии в удаленных друг от друга зданиях. Требования к резервным серверным помещениям идентичны требованиям к основным серверным помещениям.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следующих требований по кроссовому помещению: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Отсутствие мощных источников электромагнитных помех;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Отсутствие труб и вентилей системы водоснабжения;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систем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Отсутствие легко возгораемых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Наличие отдельной линии электропитания от отдельного автомата для подключения шкафа по проекту;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Наличие систем охранной сигнализации, контроля доступа;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Наличие системы кондиционирования.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использования на этапе опытной и промышленной эксплуатации цифровых объектов средств и систем: мониторинга и управления инцидентами и событиями кибербезопасности; цифровой инфраструктурой; обнаружения и предотвращения вторжений.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созданию собственного центра обеспечения кибербезопасности и обеспечению его функционирования или приобретению услуг центра обеспечения кибербезопасности у третьих лиц, а также взаимодействие его с Национальным координационным центром кибербезопасности.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размещению на Интернет-ресурсе с зарегистрированным доменным именем .KZ и (или) .ҚАЗ на аппаратно-программном комплексе, который расположен на территории Республики Казахстан.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использованию доменных имен .KZ и (или) .ҚАЗ в пространстве казахстанского сегмента Интернета при передаче данных интернет-ресурсами с применением сертификатов 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ГО, МИО и организацией требования по приобретению товаров в целях реализации требований обеспечения кибербезопасности для обороны страны и безопасности государства из реестра доверенного программного обеспечения и продукции электронной промышленности.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контролю событий нарушений кибербезопасности в ГО, МИО или организации: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проведение мониторинга событий, связанных с нарушением кибербезопасности, и анализ результатов мониторинга;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регистрация события, связанные с состоянием кибербезопасности, и выявляются нарушения путем анализа журналов событий,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операционных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систем управления базами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антивирусной защиты;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прикладного ПО;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телекоммуникационного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систем обнаружения и предотвращения атак;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системы управления контентом;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обеспечение синхронизации времени журналов регистрации событий с инфраструктурой источника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хранение журналов регистрации событий в течение срока, указанного в ТД по обеспечению кибербезопасности, но не менее трех лет и нахождения в оперативном доступе не менее двух месяцев;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ведение журналов регистрации событий;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обеспечение защиты журналов регистрации событий от вмешательства и неавторизированного доступа. Не допущение наличие у системных администраторов полномочий на изменение, удаление и отключение журналов. Для конфиденциальных ЦС требуются создание и ведение резервного хранилища журналов;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обеспечение внедрения формализованной процедуры информирования об инцидентах кибербезопасности и реагирования на инциденты кибербезопасности.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соглашения, в котором устанавливаются условия работы, доступа или использования данных объектов, а также ответственность за их нарушение при привлечении сторонних организаций к обеспечению кибербезопасности ЦР, ЦС, цифровой инфраструктуры.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при внесении изменений в условия трудового договора работника организации, ротации или продвижении по государственной службе служащего ГО, МИО, их увольнении права доступа к информации и средствам обработки информации, включающие физический и логический доступ, идентификаторы доступа, подписки, документацию, которая идентифицирует его как действующего служащего ГО, МИО или работника организации, аннулируются.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организации и ведения учета прохождения служащими ГО, МИО или работниками организаций повышения обучения в сфере цифровизации и области обеспечения кибербезопасности с выдачей электронного сертификата, обеспечением хранения в материалах личного дела кадровой службой.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регистрации в службе реагирования на компьютерные инциденты государственной технической службы, события кибербезопасности идентифицированных как критические для конфиденциальности, доступности и целостности по результатам анализа мониторинга событий кибербезопасности и анализа журнала событий.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проведению аудита кибербезопасности не реже одного раза в год, владельцам критически важных цифровых объектов, обрабатывающих данные, содержащие охраняемую законом тайну.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протоколов с положительным результатом испытаний на соответствие требованиям кибербезопасности.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обеспечению разрабатываемого или приобретаемого готового прикладного ПО интерфейсом пользователя, ввод, обработку и вывод данных на казахском, русском и других языках, по необходимости, с возможностью выбора пользователем языка интерфейса.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осуществлению мониторинга: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действий пользователей 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использования средств обработки информации.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обеспечению разрабатываемого или приобретаемого готового прикладного ПО технической документацией по эксплуатации на казахском и русском языках.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обеспечению высокой доступности сервера встроенных систем: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горячей замены резервных вентиляторов, блоков питания, дисков и адаптеров ввода-вывода;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оповещения о критических событиях;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поддержки непрерывного контроля состояния критичных компонентов и измерения контролируемых показателей.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наличию программного и аппаратного обеспечения гарантированного уничтожения информации при выводе из эксплуатации носителей информации, используемых в конфиденциальных ЦС, конфиденциальных ЦР и ЦР, содержащих персональные данные ограниченного доступа.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документированной схемы локальной сети, которая поддерживается в актуальном состоянии при эксплуатации.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требований по применению системы предотвращения утечки данных (DLP) для защиты цифровых объектов ГО, МИО и критически важных цифровых объектов 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этом обеспечиваются: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визуальное уведомление пользователя о проводимом контроле действий;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центра управления и серверов системы предотвращения утечки данных в пределах локальной сети.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интеграции ЦС ГО или МИО, в том числе с ЦС ГО и МИО, находящейся в опытной эксплуатации.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не допущению подключения к единой транспортной среде государственных органов (далее - ЕТС ГО), локальной сети цифровых субъектов, а также техническим средствам, входящим в состав ЕТС ГО, локальной сети цифровых субъектов, устройств для организации удаленного доступа посредством беспроводных сетей, беспроводного доступа, модемов, радиомодемов, модемов сетей операторов сотовой связи, абонентских устройств сотовой связи и других беспроводных сетевых устройств, за исключением организованных оператором "цифрового правительства" беспроводных каналов связи ЕТС ГО, с использованием СКЗИ.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вводу в промышленную эксплуатацию цифрового объекта "цифрового правительства" осуществляется его собственником или владельцем только с использованием исполняемых кодов, скомпонованных из исходных кодов цифровых объектов "цифрового правительства", переданных ему государственной технической службой.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Значительное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исключению подключения ЛС внутреннего контура цифровых субъектов к Интернету.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Грубое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обеспечению собственником и (или) владелецьцем ЦР создания общедоступных ЦР на казахском, русском и, по необходимости, на других языках, с возможностью выбора пользователем языка интерфейса.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Незначительное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вводу в промышленную эксплуатацию ЦС ГО, МИО и организаций в соответствии с требованиями технической документации при условии положительного завершения опытной эксплуатации, наличия протоколов испытаний с положительными результатами испытаний на соответствие требованиям кибербезопасности, подписания акта о вводе в промышленную эксплуатацию ЦС приемочной комиссией с участием представителей уполномоченных органов в сферах цифровизации и обеспечения кибербезопасности, заинтересованных ГО, МИО и организаций.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Значительное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сентября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145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искусственного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интеллекта и цифрового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развития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550/НҚ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Заместителя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Министра 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оборонной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аэрокосмической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№13/НҚ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Министра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января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№12</w:t>
            </w:r>
          </w:p>
        </w:tc>
      </w:tr>
    </w:tbl>
    <w:bookmarkStart w:name="z184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Проверочный лист в сфере цифровизации в части кибербезопасности в соответствии со </w:t>
      </w:r>
      <w:r>
        <w:rPr>
          <w:rFonts w:ascii="Times New Roman"/>
          <w:b/>
          <w:i w:val="false"/>
          <w:color w:val="000000"/>
        </w:rPr>
        <w:t>статьей 138</w:t>
      </w:r>
      <w:r>
        <w:rPr>
          <w:rFonts w:ascii="Times New Roman"/>
          <w:b/>
          <w:i w:val="false"/>
          <w:color w:val="000000"/>
        </w:rPr>
        <w:t xml:space="preserve"> Предпринимательского кодекса Республики Казахстан в отношении субъектов квазигосударственного сектора, собственников и владельцев негосударственных цифровых систем, интегрируемых с цифровыми системами государственных органов или предназначенных для формирования государственных цифровых ресурсов, центров обеспечения кибербезопасности, а также собственников и владельцев критически важных цифровых объектов</w:t>
      </w:r>
    </w:p>
    <w:bookmarkEnd w:id="83"/>
    <w:bookmarkStart w:name="z18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84"/>
    <w:bookmarkStart w:name="z18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наименование однородной группы субъектов (объектов) контроля </w:t>
      </w:r>
    </w:p>
    <w:bookmarkEnd w:id="85"/>
    <w:bookmarkStart w:name="z18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86"/>
    <w:bookmarkStart w:name="z18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87"/>
    <w:bookmarkStart w:name="z18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Государственный орган, назначивший проверку/профилактического контроля с</w:t>
      </w:r>
    </w:p>
    <w:bookmarkEnd w:id="88"/>
    <w:bookmarkStart w:name="z19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посещением субъекта (объекта) контроля</w:t>
      </w:r>
    </w:p>
    <w:bookmarkEnd w:id="89"/>
    <w:bookmarkStart w:name="z19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90"/>
    <w:bookmarkStart w:name="z19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 о назначении проверки/профилактического контроля с посещением субъекта</w:t>
      </w:r>
    </w:p>
    <w:bookmarkEnd w:id="91"/>
    <w:bookmarkStart w:name="z19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объекта) контроля _____________________________________________</w:t>
      </w:r>
    </w:p>
    <w:bookmarkEnd w:id="92"/>
    <w:bookmarkStart w:name="z19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№, дата_______________________________________________________________</w:t>
      </w:r>
    </w:p>
    <w:bookmarkEnd w:id="93"/>
    <w:bookmarkStart w:name="z19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субъекта (объекта) контроля</w:t>
      </w:r>
    </w:p>
    <w:bookmarkEnd w:id="94"/>
    <w:bookmarkStart w:name="z19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95"/>
    <w:bookmarkStart w:name="z197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(Индивидуальный идентификационный номер), бизнес-идентификационный</w:t>
      </w:r>
    </w:p>
    <w:bookmarkEnd w:id="96"/>
    <w:bookmarkStart w:name="z198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субъекта (объекта) контроля</w:t>
      </w:r>
    </w:p>
    <w:bookmarkEnd w:id="97"/>
    <w:bookmarkStart w:name="z199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bookmarkEnd w:id="98"/>
    <w:bookmarkStart w:name="z200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места нахождения _____________________________________________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осуществлению подключения локальных, ведомственных и корпоративных сетей телекоммуникаций государственных органов, местных исполнительных органов (далее-МИО), государственных юридических лиц, субъектов квазигосударственного сектора, а также владельцев критически важные цифровые объекты (далее-КВЦО), за исключением банков второго уровня и объектов среднего образования сельских населенных пунктов, использующих спутниковые (космические) каналы связи для доступа к Интернету, операторами связи через единый шлюз доступа к Интернету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оповещению владельцем критически важных цифровых объектов Национального координационного центра кибербезопасности об инцидентах кибербезопасности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применению средств: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идентификации, аутентификации и управления доступом пользователей;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идентификации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диагностических и конфигурационных портов;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физического сегментирования локальной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логического сегментирования локальной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управления сетевыми соединениями;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межсетевого экранирования;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сокрытия внутреннего адресного пространства локальной сети;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 целостности данных, сообщений и конфигураций;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криптографической защиты информации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требований по подключению к системе мониторинга обеспечения кибербезопасности, защиты и безопасного функционирования при эксплуатации цифровых объектов "цифрового правительства" первого и второго классов в соответствии с классификатором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наличию антивирусных средств, обновлений операционных систем на рабочих станциях, подключенных к сети Интернет при организации доступа к Интернету из локальных сетей внешнего контура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подразделения кибербезопасности, являющееся структурным подразделением, обособленным от других структурных подразделений, занимающихся вопросами создания, сопровождения и развития цифровых объектов, или определение должностного лица, ответственного за обеспечение кибербезопасности, с прохождением специализированных курсов в сфере обеспечения кибербезопасности не реже одного раза в три года с выдачей сертификата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требования по наличию и соответствию нормативно-технической документации (далее – ТД) по обеспечению кибербезопасности, в виде четырехуровневой системы документированных правил, процедур, практических приемов или руководящих принципов, которыми руководствуется государственные органы (далее-ГО), МИО или организация в своей деятельности. 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ТД по обеспечению кибербезопасности разрабатывается на казахском и русском языках, утверждается правовым актом государственных органов и МИО или организации и доводится до сведения всех служащих ГО, МИО или работников организации. ТД по обеспечению кибербезопасности пересматривается с целью анализа и актуализации изложенной в них информации не реже одного раза в два года.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Политика кибербезопасности ГО, МИО или организации является документом первого уровня и определяет цели, задачи, руководящие принципы и практические приемы в области обеспечения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 перечень документов второго уровня входят документы, детализирующие требования политики кибербезопасности ГО, МИО или организации,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методика оценки рисков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правила идентификации, классификации, маркировки, паспортизации активов, связанных со средствами обработки информации и их инвентаризации;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правила проведения внутреннего аудита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правила использования средств криптографической защиты информации (далее-СКЗИ);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правила организации процедуры аутентификации и разграничения прав доступа к цифровым ресурсам;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правила организации антивирусного контроля, использования мобильных устройств, носителей информации, Интернета и электронной почты;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правила организации физической защиты, безопасной среды функционирования и обеспечения непрерывной работы активов, связанных со средствами обработки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Документы третьего уровня содержат описание процессов и процедур обеспечения кибербезопасности,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каталог угроз (рисков)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план обработки угроз (рисков)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план мероприятий по обеспечению непрерывной работы и восстановлению работоспособности активов, связанных со средствами обработки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руководство администратора по сопровождению цифрового объекта, резервному копированию и восстановлению информации;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инструкцию о порядке действий пользователей по реагированию на инциденты кибербезопасности и во внештатных (кризисных) ситуациях.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Перечень документов четвертого уровня включает рабочие формы, журналы, заявки, протоколы и другие документы, в том числе электронные, используемые для регистрации и подтверждения выполненных процедур и работ,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журнал регистрации инцидентов кибербезопасности и учета внештатных ситуаций;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журнал посещения серверных помещений;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отчет о проведении оценки уязвимости сетевых ресурсов;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журнал учета кабельных соединений;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журнал учета резервных копий (резервного копирования, восстановления), тестирования резервных копий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при доступе к цифровым объектам первого и второго классов в соответствии с классификатором по применению многофакторной аутентификации, в том числе с использованием цифровых сертификатов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внесению в должностные инструкции и функциональные обязанности по обеспечению кибербезопасности и обязательств по исполнению требований ТД по обеспечению кибербезопасности служащих ГО, МИО или работников организации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применению СКЗИ для цифровых объектов: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первого класса в соответствии с классификатором – третьего уровня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второго класса в соответствии с классификатором – второго уровня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третьего класса в соответствии с классификатором – первого уровня 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собственником или владельцем объекта цифровой инфраструктуры "цифрового правительства", а также оператором "цифрового правительства" хранение государственных цифровых ресурсов (далее – ЦР), содержащихся в объектах цифровой инфраструктуры "цифрового правительства".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для обеспечения кибербезопасности ЦР по применению систем управления содержимым (контентом), выполняющая: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санкционирование операций размещения, изменения и удаления в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регистрацию авторства при размещении, изменении и удалении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проверку загружаемого ЦР на наличие вредоносного кода;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аудит безопасности исполняемого кода и скриптов;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целостности размещенного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ведение журнала изменений ЦР;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мониторинг аномальной активности пользователей и программных роботов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применению регистрационных свидетельств для проверки подлинности доменного имени и криптографической защиты содержимого сеанса связи с использованием СКЗИ для обеспечения кибербезопасности ЦР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Соблюдения требований по управлению идентификацией при использовании технологии виртуализации: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аутентификация клиентов цифровых услуг и привилегированных пользователей;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федеративной идентификации пользователей в пределах одной технологической платформы;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сохранения информации об аутентификации после удаления идентификатора пользователя;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применения средств контроля процедур назначения профилей полномочий пользователя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проведению аудита событий кибербезопасности при использовании технологии виртуализации: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обязательность и регулярность процедур, определяемых в ТД по обеспечению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проведения процедур аудита для всех операционных систем, клиентских виртуальных машин, инфраструктуры сетевых компонентов;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ведения журнала регистрации событий и хранения в недоступной для администратора системе хранения;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проверки правильности работы системы ведения журнала регистрации событий;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определения длительности хранения журналов регистрации событий в ТД по обеспечению кибербезопасности.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регистрации событий кибербезопасности при использовании технологии виртуализации: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журналирования действий администраторов;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применения системы мониторинга инцидентов и событий кибербезопасности;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оповещения на основе автоматического распознавания критического события или инцидента кибербезопасности.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исполнению процедур сетевого и системного администрирования: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обеспечения сохранности образов виртуальных машин, контроля целостности операционной системы, приложений, сетевой конфигурации, программных обеспечений (далее – ПО) и данных ГО или организации на наличие вредоносных сигнатур;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отделения аппаратной платформы от операционной системы виртуальной машины c целью исключения доступа внешних пользователей к аппаратной части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обеспечению системы хранения данных системой резервного копирования.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применению программно-технических средств защиты информации, в том числе криптографического шифрования, с использованием СКЗИ при организации выделенного канала связи, объединяющего локальные сети.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исключению сопряжения локальной сети (далее – ЛС) внутреннего контура и ЛС внешнего контура цифровые субъекты (далее – ЦС) между собой, за исключением организованных каналов связи с использованием СКЗИ, для учреждений Республики Казахстан, находящихся за границей или организованных с применением экранированной подсети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требований по использованию 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ведомственной электронной почты, службы мгновенных сообщений и иных сервисов;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электронной почты, службы мгновенных сообщений и иных сервисов, центры управления и сервера которых физически размещены на территории Республики Казахстан, если иное не установлено уполномоченным органом, для осуществления оперативного информационного обмена в электронной форме служащими ГО, МИО и работниками государственных юридических лиц, субъектами квазигосударственного сектора, а также владельцами критически важных цифровых объектов при исполнении ими служебных обязанностей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бесперебойного электропитания для активного оборудования локальных сетей.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физическому отключению неиспользуемых портов кабельной системы локальной сети от активного оборудования.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применению межсетевого экранирования.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следующих требований по серверному помещению: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Наличие документирования при техническом сопровождении оборудования, установленного в серверном помещении: обслуживание оборудования; устранение проблем, возникающих при работе аппаратно-программного обеспечения; факты сбоев и отказов, а также результаты восстановительных работ; послегарантийное обслуживание критически важного оборудования по истечении гарантийного срока обслуживания.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Наличие системы контроля и управления доступом обеспечивающие санкционированный вход и санкционированный выход;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в актуальном состоянии списка лиц, авторизованных для осуществления сопровождения объектов цифровой инфраструктуры;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Наличие системы обеспечения микроклимата;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Наличие системы охранной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Наличие системы видеонаблюдения;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Наличие системы пожарной сигнализации;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Наличие системы пожаротушения;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Наличие системы гарантированного электропитания;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Наличие системы заземления;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Соблюдение требования по проведению на регулярной основе инвентаризации серверного оборудования с проверкой его конфигурации;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Соблюдение требования по размещению серверного оборудования аппаратно-программного комплекса системы хранения данных в серверном помещении;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Соблюдение требования по расположению серверного помещения в отдельных, непроходных помещениях без оконных проемов. В случае наличия оконных проемов, они закрываются или заделываются негорючими материалами. Для поверхности стен, потолков и пола применяются материалы, не выделяющие и не накапливающие пыль;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Наличие фальшпола и (или) фальшпотолка для размещения кабельных систем и инженерных коммуникаций;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Соблюдение требования по исключению прохождение любых транзитных коммуникаций;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16) Соблюдение требования по расположению основных и резервных серверных помещений на безопасном расстоянии в удаленных друг от друга зданиях. Требования к резервным серверным помещениям идентичны требованиям к основным серверным помещениям.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следующих требований по кроссовому помещению: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Отсутствие мощных источников электромагнитных помех;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Отсутствие труб и вентилей системы водоснабжения;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Наличие систем пожарной безопасности;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Отсутствие легко возгораемых материалов;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Наличие отдельной линии электропитания от отдельного автомата для подключения шкафа по проекту;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Наличие систем охранной сигнализации, контроля доступа;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Наличие системы кондиционирования.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использования на этапе опытной и промышленной эксплуатации цифровых объектов средств и систем: мониторинга и управления инцидентами и событиями кибербезопасности; цифровой инфраструктурой; обнаружения и предотвращения вторжений.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созданию собственного центра обеспечения кибербезопасности и обеспечению его функционирования или приобретению услуг центра обеспечения кибербезопасности у третьих лиц, а также взаимодействие его с Национальным координационным центром кибербезопасности.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размещению на Интернет-ресурсе с зарегистрированным доменным именем .KZ и (или) .ҚАЗ на аппаратно-программном комплексе, который расположен на территории Республики Казахстан.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использованию доменных имен .KZ и (или) .ҚАЗ в пространстве казахстанского сегмента Интернета при передаче данных интернет-ресурсами с применением сертификатов 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ГО, МИО и организацией требования по приобретению товаров в целях реализации требований обеспечения кибербезопасности для обороны страны и безопасности государства из реестра доверенного программного обеспечения и продукции электронной промышленности.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контролю событий нарушений кибербезопасности в ГО, МИО или организации: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проведение мониторинга событий, связанных с нарушением кибербезопасности, и анализ результатов мониторинга;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регистрация события, связанные с состоянием кибербезопасности, и выявляются нарушения путем анализа журналов событий,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операционных систем;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систем управления базами данных;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антивирусной защиты;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прикладного ПО;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телекоммуникационного оборудования;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систем обнаружения и предотвращения атак;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журналов событий системы управления контентом;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обеспечение синхронизации времени журналов регистрации событий с инфраструктурой источника времени;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хранение журналов регистрации событий в течение срока, указанного в ТД по обеспечению кибербезопасности, но не менее трех лет и нахождения в оперативном доступе не менее двух месяцев;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5) ведение журналов регистрации событий;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обеспечение защиты журналов регистрации событий от вмешательства и неавторизированного доступа. Не допущение наличие у системных администраторов полномочий на изменение, удаление и отключение журналов. Для конфиденциальных ЦС требуются создание и ведение резервного хранилища журналов;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обеспечение внедрения формализованной процедуры информирования об инцидентах кибербезопасности и реагирования на инциденты кибербезопасности.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соглашения, в котором устанавливаются условия работы, доступа или использования данных объектов, а также ответственность за их нарушение при привлечении сторонних организаций к обеспечению кибербезопасности ЦР, ЦС, цифровой инфраструктуры.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при внесении изменений в условия трудового договора работника организации, ротации или продвижении по государственной службе служащего ГО, МИО, их увольнении права доступа к информации и средствам обработки информации, включающие физический и логический доступ, идентификаторы доступа, подписки, документацию, которая идентифицирует его как действующего служащего ГО, МИО или работника организации, аннулируются.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организации и ведения учета прохождения служащими ГО, МИО или работниками организаций повышения обучения в сфере цифровизации и области обеспечения кибербезопасности с выдачей электронного сертификата, обеспечением хранения в материалах личного дела кадровой службой.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регистрации в службе реагирования на компьютерные инциденты государственной технической службы, события кибербезопасности идентифицированных как критические для конфиденциальности, доступности и целостности по результатам анализа мониторинга событий кибербезопасности и анализа журнала событий.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проведению аудита кибербезопасности не реже одного раза в год, владельцам критически важных цифровых объектов, обрабатывающих данные, содержащие охраняемую законом тайну.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протоколов с положительным результатом испытаний на соответствие требованиям кибербезопасности.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обеспечению разрабатываемого или приобретаемого готового прикладного ПО интерфейсом пользователя, ввод, обработку и вывод данных на казахском, русском и других языках, по необходимости, с возможностью выбора пользователем языка интерфейса.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осуществлению мониторинга: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действий пользователей и персонала;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использования средств обработки информации.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обеспечению разрабатываемого или приобретаемого готового прикладного ПО технической документацией по эксплуатации на казахском и русском языках.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обеспечению высокой доступности сервера встроенных систем: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горячей замены резервных вентиляторов, блоков питания, дисков и адаптеров ввода-вывода;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оповещения о критических событиях;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поддержки непрерывного контроля состояния критичных компонентов и измерения контролируемых показателей.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наличию программного и аппаратного обеспечения гарантированного уничтожения информации при выводе из эксплуатации носителей информации, используемых в конфиденциальных ЦС, конфиденциальных ЦР и ЦР, содержащих персональные данные ограниченного доступа.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наличию документированной схемы локальной сети, которая поддерживается в актуальном состоянии при эксплуатации.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требований по применению системы предотвращения утечки данных (DLP) для защиты цифровых объектов ГО, МИО и критически важных цифровых объектов 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 этом обеспечиваются: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визуальное уведомление пользователя о проводимом контроле действий;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центра управления и серверов системы предотвращения утечки данных в пределах локальной сети.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интеграции ЦС ГО или МИО, в том числе с ЦС ГО и МИО, находящейся в опытной эксплуатации.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не допущению подключения к единой транспортной среде государственных органов (далее - ЕТС ГО), локальной сети цифровых субъектов, а также техническим средствам, входящим в состав ЕТС ГО, локальной сети цифровых субъектов, устройств для организации удаленного доступа посредством беспроводных сетей, беспроводного доступа, модемов, радиомодемов, модемов сетей операторов сотовой связи, абонентских устройств сотовой связи и других беспроводных сетевых устройств, за исключением организованных оператором "цифрового правительства" беспроводных каналов связи ЕТС ГО, с использованием СКЗИ.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вводу в промышленную эксплуатацию цифрового объекта "цифрового правительства" осуществляется его собственником или владельцем только с использованием исполняемых кодов, скомпонованных из исходных кодов цифровых объектов "цифрового правительства", переданных ему государственной технической службой.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исключению подключения ЛС внутреннего контура цифровых субъектов к Интернету.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требования по обеспечению собственником и (или) владельцем интернет-ресурса создания общедоступных интернет ресурсов на казахском, русском и, по необходимости, на других языках, с возможностью выбора пользователем языка интерфейса.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 вводу в промышленную эксплуатацию ЦС ГО, МИО и организаций в соответствии с требованиями технической документации при условии положительного завершения опытной эксплуатации, наличия протоколов испытаний с положительными результатами испытаний на соответствие требованиям кибербезопасности, подписания акта о вводе в промышленную эксплуатацию ЦС приемочной комиссией с участием представителей уполномоченных органов в сферах цифровизации и обеспечения кибербезопасности, заинтересованных ГО, МИО и организаций.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305" w:id="116"/>
      <w:r>
        <w:rPr>
          <w:rFonts w:ascii="Times New Roman"/>
          <w:b w:val="false"/>
          <w:i w:val="false"/>
          <w:color w:val="000000"/>
          <w:sz w:val="28"/>
        </w:rPr>
        <w:t xml:space="preserve">
      Должностное (ые) лицо (а) _________________________________ ____________ 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должность                   подпись</w:t>
      </w:r>
    </w:p>
    <w:p>
      <w:pPr>
        <w:spacing w:after="0"/>
        <w:ind w:left="0"/>
        <w:jc w:val="both"/>
      </w:pPr>
      <w:bookmarkStart w:name="z306" w:id="117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bookmarkEnd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наличии)</w:t>
      </w:r>
    </w:p>
    <w:p>
      <w:pPr>
        <w:spacing w:after="0"/>
        <w:ind w:left="0"/>
        <w:jc w:val="both"/>
      </w:pPr>
      <w:bookmarkStart w:name="z307" w:id="118"/>
      <w:r>
        <w:rPr>
          <w:rFonts w:ascii="Times New Roman"/>
          <w:b w:val="false"/>
          <w:i w:val="false"/>
          <w:color w:val="000000"/>
          <w:sz w:val="28"/>
        </w:rPr>
        <w:t xml:space="preserve">
      Руководитель субъекта контроля ___________________ _____________________ </w:t>
      </w:r>
    </w:p>
    <w:bookmarkEnd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            должность                   подпись</w:t>
      </w:r>
    </w:p>
    <w:p>
      <w:pPr>
        <w:spacing w:after="0"/>
        <w:ind w:left="0"/>
        <w:jc w:val="both"/>
      </w:pPr>
      <w:bookmarkStart w:name="z308" w:id="119"/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_____________________________________________________________________ </w:t>
      </w:r>
    </w:p>
    <w:bookmarkEnd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фамилия, имя, отчество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