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21a65" w14:textId="8e21a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приказы Министра здравоохранения Республики Казахстан</w:t>
      </w:r>
    </w:p>
    <w:p>
      <w:pPr>
        <w:spacing w:after="0"/>
        <w:ind w:left="0"/>
        <w:jc w:val="both"/>
      </w:pPr>
      <w:r>
        <w:rPr>
          <w:rFonts w:ascii="Times New Roman"/>
          <w:b w:val="false"/>
          <w:i w:val="false"/>
          <w:color w:val="000000"/>
          <w:sz w:val="28"/>
        </w:rPr>
        <w:t>Приказ и.о. Министра здравоохранения Республики Казахстан от 16 сентября 2026 года № 109. Зарегистрирован в Министерстве юстиции Республики Казахстан 17 сентября 2026 года № 39904</w:t>
      </w:r>
    </w:p>
    <w:p>
      <w:pPr>
        <w:spacing w:after="0"/>
        <w:ind w:left="0"/>
        <w:jc w:val="both"/>
      </w:pPr>
      <w:r>
        <w:rPr>
          <w:rFonts w:ascii="Times New Roman"/>
          <w:b w:val="false"/>
          <w:i w:val="false"/>
          <w:color w:val="000000"/>
          <w:sz w:val="28"/>
        </w:rPr>
        <w:t>
      ПРИКАЗЫВАЮ:</w:t>
      </w:r>
    </w:p>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 (зарегистрирован в Реестре государственной регистрации нормативных правовых актов № 21443) следующие изменения и дополнения: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"Об утверждении целевых групп лиц, подлежащих обязательным медицинским осмотрам, а также правил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пунктами 4</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86 Кодекса Республики Казахстан "О здоровье народа и системе здравоохранения", </w:t>
      </w:r>
      <w:r>
        <w:rPr>
          <w:rFonts w:ascii="Times New Roman"/>
          <w:b w:val="false"/>
          <w:i w:val="false"/>
          <w:color w:val="000000"/>
          <w:sz w:val="28"/>
        </w:rPr>
        <w:t>статьей 185</w:t>
      </w:r>
      <w:r>
        <w:rPr>
          <w:rFonts w:ascii="Times New Roman"/>
          <w:b w:val="false"/>
          <w:i w:val="false"/>
          <w:color w:val="000000"/>
          <w:sz w:val="28"/>
        </w:rPr>
        <w:t xml:space="preserve"> Трудового кодекса Республики Казахстан,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ПРИКАЗЫВАЮ:";</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 изложить в следующей редакции:</w:t>
      </w:r>
    </w:p>
    <w:p>
      <w:pPr>
        <w:spacing w:after="0"/>
        <w:ind w:left="0"/>
        <w:jc w:val="both"/>
      </w:pPr>
      <w:r>
        <w:rPr>
          <w:rFonts w:ascii="Times New Roman"/>
          <w:b w:val="false"/>
          <w:i w:val="false"/>
          <w:color w:val="000000"/>
          <w:sz w:val="28"/>
        </w:rPr>
        <w:t xml:space="preserve">
      "2) правила проведения обязательных медицинских осмотров и оказания государственной услуги "Прохождение предварительных обязательных медицинских осмотров"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приказу изложить в новой редакции согласно приложению 1 к настоящему приказу;</w:t>
      </w:r>
    </w:p>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w:t>
      </w:r>
      <w:r>
        <w:rPr>
          <w:rFonts w:ascii="Times New Roman"/>
          <w:b w:val="false"/>
          <w:i w:val="false"/>
          <w:color w:val="000000"/>
          <w:sz w:val="28"/>
        </w:rPr>
        <w:t xml:space="preserve"> к указанному приказу: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"Правила проведения обязательных медицинских осмотров и оказания государственной услуги "Прохождение предварительных обязательных медицинских осмотров";</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xml:space="preserve">
      "1. Настоящие Правила проведения обязательных медицинских осмотров и оказания государственной услуги "Прохождение предварительных обязательных медицинских осмотров" (далее – Правила) разработаны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86 Кодекса Республики Казахстан "О здоровье народа и системе здравоохранения" (далее – Кодекс), </w:t>
      </w:r>
      <w:r>
        <w:rPr>
          <w:rFonts w:ascii="Times New Roman"/>
          <w:b w:val="false"/>
          <w:i w:val="false"/>
          <w:color w:val="000000"/>
          <w:sz w:val="28"/>
        </w:rPr>
        <w:t>статьей 185</w:t>
      </w:r>
      <w:r>
        <w:rPr>
          <w:rFonts w:ascii="Times New Roman"/>
          <w:b w:val="false"/>
          <w:i w:val="false"/>
          <w:color w:val="000000"/>
          <w:sz w:val="28"/>
        </w:rPr>
        <w:t xml:space="preserve"> Трудового Кодекса Республики Казахстан,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xml:space="preserve">
      "4. Обязательные предварительные, периодические, предсменные (предрейсовые), послесменные (послерейсовые) медицинские осмотры проводятся медицинскими организациями, имеющими государственную лицензию установленного образца, в соответствии с </w:t>
      </w:r>
      <w:r>
        <w:rPr>
          <w:rFonts w:ascii="Times New Roman"/>
          <w:b w:val="false"/>
          <w:i w:val="false"/>
          <w:color w:val="000000"/>
          <w:sz w:val="28"/>
        </w:rPr>
        <w:t>Законом Республики Казахстан "О разрешениях и уведомлениях</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"16. Медицинская организация, проводившая обязательный периодический медицинский осмотр, результаты обследования каждого работника, вводит в медицинскую цифровую систему.";</w:t>
      </w:r>
    </w:p>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18</w:t>
      </w:r>
      <w:r>
        <w:rPr>
          <w:rFonts w:ascii="Times New Roman"/>
          <w:b w:val="false"/>
          <w:i w:val="false"/>
          <w:color w:val="000000"/>
          <w:sz w:val="28"/>
        </w:rPr>
        <w:t xml:space="preserve"> исключить;</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20 изложить в следующей редакции:</w:t>
      </w:r>
    </w:p>
    <w:p>
      <w:pPr>
        <w:spacing w:after="0"/>
        <w:ind w:left="0"/>
        <w:jc w:val="both"/>
      </w:pPr>
      <w:r>
        <w:rPr>
          <w:rFonts w:ascii="Times New Roman"/>
          <w:b w:val="false"/>
          <w:i w:val="false"/>
          <w:color w:val="000000"/>
          <w:sz w:val="28"/>
        </w:rPr>
        <w:t>
      "4) в случае выявления у работника подозрения на хроническое профессиональное заболевание (установления предварительного диагноза), на основании заключительного акта обеспечивает своевременное направление его в медицинскую организацию, оказывающую специализированную помощь по профессиональной патологии для проведения экспертизы связи заболевания с выполнением работником трудовых (служебных) обязанностей не позднее трех рабочих дней со дня получения санитарно-эпидемиологической характеристики условий труда;";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дополнить частью второй следующего содержания:</w:t>
      </w:r>
    </w:p>
    <w:p>
      <w:pPr>
        <w:spacing w:after="0"/>
        <w:ind w:left="0"/>
        <w:jc w:val="both"/>
      </w:pPr>
      <w:r>
        <w:rPr>
          <w:rFonts w:ascii="Times New Roman"/>
          <w:b w:val="false"/>
          <w:i w:val="false"/>
          <w:color w:val="000000"/>
          <w:sz w:val="28"/>
        </w:rPr>
        <w:t>
      "Работники, предусмотренные в подпунктах 4) и 5) настоящего пункта, имеющие непрерывный трудовой стаж во вредных и (или) опасных производственных условиях не менее восьми лет проходят периодический медицинский осмотр в организации здравоохранения, оказывающей специализированную медицинскую помощь в области профессиональной патологии и экспертизы один раз в 5 лет.";</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24</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"24. Работники, имеющие признаки воздействия на организм вредных производственных факторов и признаки профессиональных заболеваний, а также в случаях затруднения определения профессиональной пригодности или в случаях несогласия работника, работодателя, страховой компании с заключением врачебной комиссии, с целью экспертизы профессиональной пригодности направляются медицинскую организацию, оказывающую специализированную помощь по профессиональной патологии.";</w:t>
      </w:r>
    </w:p>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42</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"Уполномоченный орган в области здравоохранения в течение трех рабочих дней с даты утверждения или изменения в настоящие Правила, актуализирует их и направляет в субъекты здравоохранения, оператору цифровой инфраструктуры "цифрового правительства" и Единый контакт-центр.";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и </w:t>
      </w:r>
      <w:r>
        <w:rPr>
          <w:rFonts w:ascii="Times New Roman"/>
          <w:b w:val="false"/>
          <w:i w:val="false"/>
          <w:color w:val="000000"/>
          <w:sz w:val="28"/>
        </w:rPr>
        <w:t>46</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"44. Прием документов осуществляется через услугодателя (медицинские организации), а выдача результатов оказания государственной услуги осуществляется через веб-портал "цифрового правительства" (далее – портал).</w:t>
      </w:r>
    </w:p>
    <w:p>
      <w:pPr>
        <w:spacing w:after="0"/>
        <w:ind w:left="0"/>
        <w:jc w:val="both"/>
      </w:pPr>
      <w:r>
        <w:rPr>
          <w:rFonts w:ascii="Times New Roman"/>
          <w:b w:val="false"/>
          <w:i w:val="false"/>
          <w:color w:val="000000"/>
          <w:sz w:val="28"/>
        </w:rPr>
        <w:t xml:space="preserve">
      45.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w:t>
      </w:r>
      <w:r>
        <w:rPr>
          <w:rFonts w:ascii="Times New Roman"/>
          <w:b w:val="false"/>
          <w:i w:val="false"/>
          <w:color w:val="000000"/>
          <w:sz w:val="28"/>
        </w:rPr>
        <w:t>приказу</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 8555).</w:t>
      </w:r>
    </w:p>
    <w:p>
      <w:pPr>
        <w:spacing w:after="0"/>
        <w:ind w:left="0"/>
        <w:jc w:val="both"/>
      </w:pPr>
      <w:r>
        <w:rPr>
          <w:rFonts w:ascii="Times New Roman"/>
          <w:b w:val="false"/>
          <w:i w:val="false"/>
          <w:color w:val="000000"/>
          <w:sz w:val="28"/>
        </w:rPr>
        <w:t>
      46. Адреса мест оказания государственной услуги размещены на интернет-ресурсах управлений здравоохранения (общественного здравоохранения) столицы, областей и городов республиканского значения, а также интернет-ресурсах медицинских организаций, оказывающих первичную медико-санитарную помощь.";</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48</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"48. Жалоба услугополучателя, поступившая в адрес услугодателя, непосредственно оказывающих государственные услуги, в соответствии с пунктом 2 статьи 25 Закона подлежит рассмотрению в течение пяти рабочих дней со дня ее регистрации.";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4-1</w:t>
      </w:r>
      <w:r>
        <w:rPr>
          <w:rFonts w:ascii="Times New Roman"/>
          <w:b w:val="false"/>
          <w:i w:val="false"/>
          <w:color w:val="000000"/>
          <w:sz w:val="28"/>
        </w:rPr>
        <w:t xml:space="preserve"> к указанным Правилам дополнить примечанием следующего содержания:</w:t>
      </w:r>
    </w:p>
    <w:p>
      <w:pPr>
        <w:spacing w:after="0"/>
        <w:ind w:left="0"/>
        <w:jc w:val="both"/>
      </w:pPr>
      <w:r>
        <w:rPr>
          <w:rFonts w:ascii="Times New Roman"/>
          <w:b w:val="false"/>
          <w:i w:val="false"/>
          <w:color w:val="000000"/>
          <w:sz w:val="28"/>
        </w:rPr>
        <w:t>
      "</w:t>
      </w:r>
      <w:r>
        <w:rPr>
          <w:rFonts w:ascii="Times New Roman"/>
          <w:b w:val="false"/>
          <w:i w:val="false"/>
          <w:color w:val="000000"/>
          <w:sz w:val="28"/>
        </w:rPr>
        <w:t>Примечание</w:t>
      </w:r>
      <w:r>
        <w:rPr>
          <w:rFonts w:ascii="Times New Roman"/>
          <w:b w:val="false"/>
          <w:i w:val="false"/>
          <w:color w:val="000000"/>
          <w:sz w:val="28"/>
        </w:rPr>
        <w:t>:</w:t>
      </w:r>
    </w:p>
    <w:p>
      <w:pPr>
        <w:spacing w:after="0"/>
        <w:ind w:left="0"/>
        <w:jc w:val="both"/>
      </w:pPr>
      <w:r>
        <w:rPr>
          <w:rFonts w:ascii="Times New Roman"/>
          <w:b w:val="false"/>
          <w:i w:val="false"/>
          <w:color w:val="000000"/>
          <w:sz w:val="28"/>
        </w:rPr>
        <w:t>
      Работникам, обязанным проходить предсменное медицинское освидетельствование в соответствии с законодательством Республики Казахстан, соглашением, коллективным договором сохраняются гарантии, предусмотренные статей 125 Трудового кодекса Республики Казахстан.";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указанным Правилам изложить в новой редакции согласно приложению 2 к настоящему приказу;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указанному приказу изложить в новой редакции согласно приложения 3 к настоящему приказу;</w:t>
      </w:r>
    </w:p>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4</w:t>
      </w:r>
      <w:r>
        <w:rPr>
          <w:rFonts w:ascii="Times New Roman"/>
          <w:b w:val="false"/>
          <w:i w:val="false"/>
          <w:color w:val="000000"/>
          <w:sz w:val="28"/>
        </w:rPr>
        <w:t xml:space="preserve"> к указанному приказу:</w:t>
      </w:r>
    </w:p>
    <w:p>
      <w:pPr>
        <w:spacing w:after="0"/>
        <w:ind w:left="0"/>
        <w:jc w:val="both"/>
      </w:pPr>
      <w:r>
        <w:rPr>
          <w:rFonts w:ascii="Times New Roman"/>
          <w:b w:val="false"/>
          <w:i w:val="false"/>
          <w:color w:val="000000"/>
          <w:sz w:val="28"/>
        </w:rPr>
        <w:t>
      во вредных и (или) опасных производственных факторах:</w:t>
      </w:r>
    </w:p>
    <w:p>
      <w:pPr>
        <w:spacing w:after="0"/>
        <w:ind w:left="0"/>
        <w:jc w:val="both"/>
      </w:pPr>
      <w:r>
        <w:rPr>
          <w:rFonts w:ascii="Times New Roman"/>
          <w:b w:val="false"/>
          <w:i w:val="false"/>
          <w:color w:val="000000"/>
          <w:sz w:val="28"/>
        </w:rPr>
        <w:t>
      строки, порядковые номера 6 и 7, изложить в следующей редакции:</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и его соединения (боракарбидФ, нитридФ)</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ФГ, при предварительном осмотре прямая и боковая рентгенограммы, повторная рентгенограмма грудной клетки через 5 лет, при трудовом стаже 5-10 лет 1 раз в 2 года, при трудовом стаже более 10 лет ежегодно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Бороводороды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билирубин крови, АЛАТ,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строку, порядковый номер 24, изложить в следующей редакции:</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 и его неорганическиеК и органические соединения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дерматовенеролог, гинеколог, онколог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ретикулоциты, АЛАТ, билирубин,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вегатативной нервной системы. Хронические заболевания периферической нервной системы (полиневропатии)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опухоли любой локализации</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строки, порядковые номера 31 и 32, изложить в следующей редакции:</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и его неорганические соединения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гематолог по показаниям, психиатр, нарколог по показаниям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количество эритроцитов, ретикулоцитов, эритроцитов с базофильной зернистостью, свинец в крови и в моче,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у мужчин менее 130 милиграммов на литр (далее мг/л), у женщин 120 мг/л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обостряющиеся заболевания гепатобилиарной системы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Тетраэтилсвинец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психиатр по показаниям, гематолог по показаниям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количество эритроцитов, ретикулоцитов, эритроцитов с базофильной зернистостью, свинец в крови и в моче,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нервной системы</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строку, порядковый номер 37, изложить в следующей редакции:</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ТетраметилтиурамдисульфидА (тиурам 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дерматовенеролог, оториноларинголог, аллерголог по показаниям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билирубин, АЛАТ,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Аллергические заболевания.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строку, порядковый номер 39, изложить в следующей редакции:</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метиловый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офтальмолог, невропатолог, психиатр по показаниям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Исследование глазного дна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зрительного нерва и сетчатки.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с частотой обострения 2 и более раза в год</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строку, порядковый номер 41, изложить в следующей редакции:</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 индий, галлий и их соединения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невропатолог, аллерголог по показаниям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по показаниям: анализ мочи на содержание металлов, спирография,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вегетативной и периферической нервной системы</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строку, порядковый номер 44, изложить в следующей редакции:</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 ароматические: бензолК и его производные (толуол, ксилол, стирол)</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гинеколог, онколог, офтальмолог, уролог, психиатр, нарколог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ретикулоциты, тромбоциты, билирубин, АЛТ, АСТ, гаммаглютаминтранспептидаза ЭЭГ, ФГ, биомикроскопия сред глаза, ультразвуковое исследование внутренних органов (далее – УЗИ)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 лейкоцитов менее 4,5х109 на литр (далее – 4,5х109/л), тромбоцитов менее 180000.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опухоли половой сферы,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менструальной функции, сопровождающиеся дисфункциональными маточными кровотечениями.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 (псориаз, нейродермит, витилиго).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гепатобилиарной системы тяжелого течения часто рецидивирующие (более 2 раз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Полинейропатия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работу с бензолом женщины не допускаются</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строку, порядковый номер 63, изложить в следующей редакции:</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АкрилнитрилА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аллерголог, дерматовенеролог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вегатативной нервной системы. Хронические заболевания периферической нервной системы (полиневропатии)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изменения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кожи</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строку, порядковый номер 89, изложить в следующей редакции:</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ФенопластыА (фенольная смола, бакелитовый лак и другие) производство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офтальмолог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кожи и др. Хронические заболевания бронхолегочной системы</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строку, порядковый номер 129, изложить в следующей редакции:</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Локальная вибрация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гинеколог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Холодовая проба, палестизиометрия, ЭКГ, ФГ, по показаниям: реовазография периферических сосудов, рентгенография опорно-двигательного аппарата, исследование вестибулярного анализатора, аудиометрия, острота зрения с коррекцией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Облитерирующие заболевания артерий, периферический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Аномалии положения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Высокая и осложненная близорукость выше 8,0 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любой этиологии,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с частотой обострения 2 и более раза в год и (или) с нарушением сенсорной и (или) двигательной функции на 2 степени и выше</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в профессиях и работах:</w:t>
      </w:r>
    </w:p>
    <w:p>
      <w:pPr>
        <w:spacing w:after="0"/>
        <w:ind w:left="0"/>
        <w:jc w:val="both"/>
      </w:pPr>
      <w:r>
        <w:rPr>
          <w:rFonts w:ascii="Times New Roman"/>
          <w:b w:val="false"/>
          <w:i w:val="false"/>
          <w:color w:val="000000"/>
          <w:sz w:val="28"/>
        </w:rPr>
        <w:t>
      строку, порядковый номер 1, изложить в следующей редакции:</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подъемом и перемещением груза вручную, стереотипные рабочие движения, рабочая поза, перещение в пространстве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уролог, гинеколог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при трудовом стаже в данных условиях 5 лет и более и по показаниям: электромиография (далее - ЭМГ), электро-нейромиография (далее - ЭНМГ), рентгенография поясничного отдела позвоночника, по показаниям: ультразвуковая допплерография периферических артерий, реовазография периферических сосудов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 высокой степени.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Облитерирующие заболевания артерий, периферический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Артериальная гипертензия 1-3 степени высокого и очень высокого риска, а также при сохранении артериальной гипертензии с артериальным давлением &gt;140/90 мм.рт.ст., в том числе на фоне медикаментозной терапии.</w:t>
            </w:r>
          </w:p>
          <w:p>
            <w:pPr>
              <w:spacing w:after="20"/>
              <w:ind w:left="20"/>
              <w:jc w:val="both"/>
            </w:pPr>
            <w:r>
              <w:rPr>
                <w:rFonts w:ascii="Times New Roman"/>
                <w:b w:val="false"/>
                <w:i w:val="false"/>
                <w:color w:val="000000"/>
                <w:sz w:val="20"/>
              </w:rPr>
              <w:t>
Хронические болезни миокарда, эндокарда и перикарда (в том числе миокардиты, кардиомиопатии любого генеза с хронической СН 2-4 ФК (NYHA), эндокардиты (инфекционный эндокардит, в т.ч. после хирургической коррекции клапанной патологии, или в неактивной фазе), рецидивирующий и адгезивно - констриктивный перикардиты), осложненные СН 2-4 ФК (NYHA), тромбоэмболией, нарушениями ритма высоких градаций по Лауну и имеющие риск развития других пароксизмальных состояний.</w:t>
            </w:r>
          </w:p>
          <w:p>
            <w:pPr>
              <w:spacing w:after="20"/>
              <w:ind w:left="20"/>
              <w:jc w:val="both"/>
            </w:pPr>
            <w:r>
              <w:rPr>
                <w:rFonts w:ascii="Times New Roman"/>
                <w:b w:val="false"/>
                <w:i w:val="false"/>
                <w:color w:val="000000"/>
                <w:sz w:val="20"/>
              </w:rPr>
              <w:t xml:space="preserve">
Легочная гипертензия любого генеза с 2-4 функциональным классом, в т.ч. состояние после тромбоэмболии легочной артерии. </w:t>
            </w:r>
          </w:p>
          <w:p>
            <w:pPr>
              <w:spacing w:after="20"/>
              <w:ind w:left="20"/>
              <w:jc w:val="both"/>
            </w:pPr>
            <w:r>
              <w:rPr>
                <w:rFonts w:ascii="Times New Roman"/>
                <w:b w:val="false"/>
                <w:i w:val="false"/>
                <w:color w:val="000000"/>
                <w:sz w:val="20"/>
              </w:rPr>
              <w:t>
Коронарные заболевания сердца:</w:t>
            </w:r>
          </w:p>
          <w:p>
            <w:pPr>
              <w:spacing w:after="20"/>
              <w:ind w:left="20"/>
              <w:jc w:val="both"/>
            </w:pPr>
            <w:r>
              <w:rPr>
                <w:rFonts w:ascii="Times New Roman"/>
                <w:b w:val="false"/>
                <w:i w:val="false"/>
                <w:color w:val="000000"/>
                <w:sz w:val="20"/>
              </w:rPr>
              <w:t>
стабильная стенокардия II-IV функциональный класс с переоценкой через 6 месяцев.;</w:t>
            </w:r>
          </w:p>
          <w:p>
            <w:pPr>
              <w:spacing w:after="20"/>
              <w:ind w:left="20"/>
              <w:jc w:val="both"/>
            </w:pPr>
            <w:r>
              <w:rPr>
                <w:rFonts w:ascii="Times New Roman"/>
                <w:b w:val="false"/>
                <w:i w:val="false"/>
                <w:color w:val="000000"/>
                <w:sz w:val="20"/>
              </w:rPr>
              <w:t>
ОИМ после реваскуляризации;</w:t>
            </w:r>
          </w:p>
          <w:p>
            <w:pPr>
              <w:spacing w:after="20"/>
              <w:ind w:left="20"/>
              <w:jc w:val="both"/>
            </w:pPr>
            <w:r>
              <w:rPr>
                <w:rFonts w:ascii="Times New Roman"/>
                <w:b w:val="false"/>
                <w:i w:val="false"/>
                <w:color w:val="000000"/>
                <w:sz w:val="20"/>
              </w:rPr>
              <w:t>
ОКС с последующей оптимальной медикаментозной терапией без реваскуляризации, СН 2-4 ФК (NYHA), с переоценкой через 6 месяцев;</w:t>
            </w:r>
          </w:p>
          <w:p>
            <w:pPr>
              <w:spacing w:after="20"/>
              <w:ind w:left="20"/>
              <w:jc w:val="both"/>
            </w:pPr>
            <w:r>
              <w:rPr>
                <w:rFonts w:ascii="Times New Roman"/>
                <w:b w:val="false"/>
                <w:i w:val="false"/>
                <w:color w:val="000000"/>
                <w:sz w:val="20"/>
              </w:rPr>
              <w:t>
ОКС с последующей реваскуляризацией;</w:t>
            </w:r>
          </w:p>
          <w:p>
            <w:pPr>
              <w:spacing w:after="20"/>
              <w:ind w:left="20"/>
              <w:jc w:val="both"/>
            </w:pPr>
            <w:r>
              <w:rPr>
                <w:rFonts w:ascii="Times New Roman"/>
                <w:b w:val="false"/>
                <w:i w:val="false"/>
                <w:color w:val="000000"/>
                <w:sz w:val="20"/>
              </w:rPr>
              <w:t>
ОИМ осложненный кардиогенным шоком, клинической смертью, механическим осложнением, в т.ч. повторный ОИМ;</w:t>
            </w:r>
          </w:p>
          <w:p>
            <w:pPr>
              <w:spacing w:after="20"/>
              <w:ind w:left="20"/>
              <w:jc w:val="both"/>
            </w:pPr>
            <w:r>
              <w:rPr>
                <w:rFonts w:ascii="Times New Roman"/>
                <w:b w:val="false"/>
                <w:i w:val="false"/>
                <w:color w:val="000000"/>
                <w:sz w:val="20"/>
              </w:rPr>
              <w:t xml:space="preserve">
Аневризма торакоабдоминальной аорты, острая, подострая, хроническая стадия диссекции аорты любого типа, неспецифическая аортоартериит. </w:t>
            </w:r>
          </w:p>
          <w:p>
            <w:pPr>
              <w:spacing w:after="20"/>
              <w:ind w:left="20"/>
              <w:jc w:val="both"/>
            </w:pPr>
            <w:r>
              <w:rPr>
                <w:rFonts w:ascii="Times New Roman"/>
                <w:b w:val="false"/>
                <w:i w:val="false"/>
                <w:color w:val="000000"/>
                <w:sz w:val="20"/>
              </w:rPr>
              <w:t>
Острая ревматическая лихорадка: активная фаза, частые рецидивы с поражением сердца и других органов, и систем, а также с последствиями перенесенных внесердечных поражений, мешающих выполнению работы по профессии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Выраженное варикозное расширение вен нижних конечностей, тромбофлебит,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Выраженный энтероптоз, грыжи, выпадение прямой кишки, протрузия или грыжа позвоночных сегментов, состояния после оперативного лечения по поводу грыжи позвоночного сегмента, ишемическая болезнь сердца</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строки, порядковые номера 4, 5, 6, 7 и 8, изложить в следующей редакции:</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периодическим перемещением суммарной массы грузов в течение каждого часа (смены) с рабочей поверхности: мужчины более 870 кг, женщины до 350 кг, перемещение с пола: мужчины более 435 кг, женщины до 175 кг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ЭМГ, ЭНМГ, рентгенография поясничного отдела позвоночника, по показаниям: УЗИ органов малого таза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 высокой степени. Опущение (выпадение)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Поясничный или пояснично-крестцовый остеохондроз, сопровождаемый протрузией или грыжей позвоночного диска, состояния после оперативного лечения по поводу грыжи диска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периодическим удержанием груза (детали, инструменты) на весу, приложение усилий в течение смены одной рукой (килограмм (далее-кг), секунды (далее-сек) мужчины - от 36000-70000 мужчины более 70000 женщины до 42000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рентгенография локтевых суставов в 2 проекциях, по показаниям: УЗИ органов малого таза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 высокой степени. Опущение (выпадение)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Деформирующий остеартроз локтевых суставов</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периодическим удержанием груза (детали инструменты) на весу, приложение усилий (кг. сек) в течение смены двумя руками: мужчины - 700001-40000 женщины - 42000-84000 мужчины более 140000 женщины до 84000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рентгенография локтевых суставов в 2 проекциях, по показаниям: УЗИ органов малого таза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 высокой степени. Опущение (выпадение)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Деформирующий остеартроз локтевых суставов</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региональными мышечными напряжениями, преимущественно мышц рук и плечевого пояса и с вынужденными наклонами корпуса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рентгенография локтевых суставов в 2 проекциях, ЭНМГ, рентгенография поясничного отдела позвоночника в 2-х проекциях, по показаниям: УЗИ органов малого таза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Опущение (выпадение)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Деформирующий остеартроз локтевых суставов.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Поясничный или пояснично-крестцовый остеохондроз, сопровождаемый протрузией или грыжей позвоночного диска, состояния после оперативного лечения по поводу грыжи диска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связанные с пребыванием в вынужденной рабочей позе (на коленях, на корточках): до 25 % времени смены более 25 % времени смены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рентгенография коленных суставов в 2 проекциях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Деформирующий остеартроз коленных суставов.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Артериальная гипертензия 2 и 3 степени 3 и 4 класса риска</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21 декабря 2020 года № ҚР ДСМ-301/2020 "Об утверждении правил экспертизы установления связи профессионального заболевания с выполнением трудовых (служебных) обязанностей" (зарегистрирован в Реестре государственной регистрации нормативных правовых актов под № 21862) следующие изменения и дополнение:</w:t>
      </w:r>
    </w:p>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экспертизы установления связи профессионального заболевания с выполнением трудовых (служебных) обязанностей, утвержденных указанным приказом:</w:t>
      </w:r>
    </w:p>
    <w:p>
      <w:pPr>
        <w:spacing w:after="0"/>
        <w:ind w:left="0"/>
        <w:jc w:val="both"/>
      </w:pPr>
      <w:r>
        <w:rPr>
          <w:rFonts w:ascii="Times New Roman"/>
          <w:b w:val="false"/>
          <w:i w:val="false"/>
          <w:color w:val="000000"/>
          <w:sz w:val="28"/>
        </w:rPr>
        <w:t>
      дополнить пунктом 8-1 следующего содержания:</w:t>
      </w:r>
    </w:p>
    <w:p>
      <w:pPr>
        <w:spacing w:after="0"/>
        <w:ind w:left="0"/>
        <w:jc w:val="both"/>
      </w:pPr>
      <w:r>
        <w:rPr>
          <w:rFonts w:ascii="Times New Roman"/>
          <w:b w:val="false"/>
          <w:i w:val="false"/>
          <w:color w:val="000000"/>
          <w:sz w:val="28"/>
        </w:rPr>
        <w:t xml:space="preserve">
      "8-1. По случаям острых и (или) хронических профессиональных заболеваний и (или) отравлений, в том числе подозрений на профессиональные заболевания и (или) отравления проводится расследование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29 августа 2024 года № 69 "Об утверждении Правил проведения расследований в сфере санитарно-эпидемиологического благополучия населения" (зарегистрирован в Реестре государственной регистрации нормативных правовых актов под № 34998).";</w:t>
      </w:r>
    </w:p>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23</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xml:space="preserve">
      "Заключение ЭППК оформляется на бумажном и электронном носителях и хранится в медицинской документации больного в клинике профессионального здоровья постоянно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информации Республики Казахстан от 17 июня 2025 года № 279-НҚ "Об утверждении Перечня типовых документов, образующихся в деятельности государственных и негосударственных организаций, с указанием срока хранения" (далее – Приказ № 279-НҚ).";</w:t>
      </w:r>
    </w:p>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28</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xml:space="preserve">
      "Информация в электронном виде направляется через порталы "цифровое правительство", "Е-обращение", либо через действующие специализированные цифровые системы в сфере санитарно-эпидемиологического благополучия населения (при наличии). В случае, если срок уведомления выпадает согласно </w:t>
      </w:r>
      <w:r>
        <w:rPr>
          <w:rFonts w:ascii="Times New Roman"/>
          <w:b w:val="false"/>
          <w:i w:val="false"/>
          <w:color w:val="000000"/>
          <w:sz w:val="28"/>
        </w:rPr>
        <w:t>Трудовому кодексу</w:t>
      </w:r>
      <w:r>
        <w:rPr>
          <w:rFonts w:ascii="Times New Roman"/>
          <w:b w:val="false"/>
          <w:i w:val="false"/>
          <w:color w:val="000000"/>
          <w:sz w:val="28"/>
        </w:rPr>
        <w:t xml:space="preserve"> Республики Казахстан на выходные и праздничные дни, то срок уведомления продлевается до следующего рабочего дня.";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31 изложить в следующей редакции:</w:t>
      </w:r>
    </w:p>
    <w:p>
      <w:pPr>
        <w:spacing w:after="0"/>
        <w:ind w:left="0"/>
        <w:jc w:val="both"/>
      </w:pPr>
      <w:r>
        <w:rPr>
          <w:rFonts w:ascii="Times New Roman"/>
          <w:b w:val="false"/>
          <w:i w:val="false"/>
          <w:color w:val="000000"/>
          <w:sz w:val="28"/>
        </w:rPr>
        <w:t xml:space="preserve">
      "3) третий экземпляр хранится в медицинской документации больного в клинике профессионального здоровья постоянно в соответствии </w:t>
      </w:r>
      <w:r>
        <w:rPr>
          <w:rFonts w:ascii="Times New Roman"/>
          <w:b w:val="false"/>
          <w:i w:val="false"/>
          <w:color w:val="000000"/>
          <w:sz w:val="28"/>
        </w:rPr>
        <w:t>Приказом № 279-НҚ</w:t>
      </w:r>
      <w:r>
        <w:rPr>
          <w:rFonts w:ascii="Times New Roman"/>
          <w:b w:val="false"/>
          <w:i w:val="false"/>
          <w:color w:val="000000"/>
          <w:sz w:val="28"/>
        </w:rPr>
        <w:t>.".</w:t>
      </w:r>
    </w:p>
    <w:p>
      <w:pPr>
        <w:spacing w:after="0"/>
        <w:ind w:left="0"/>
        <w:jc w:val="both"/>
      </w:pPr>
      <w:r>
        <w:rPr>
          <w:rFonts w:ascii="Times New Roman"/>
          <w:b w:val="false"/>
          <w:i w:val="false"/>
          <w:color w:val="000000"/>
          <w:sz w:val="28"/>
        </w:rPr>
        <w:t>
      3. Комитету санитарно-эпидемиологического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здравоохранения Республики Казахстан.</w:t>
      </w:r>
    </w:p>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Исполняющий обязанности </w:t>
            </w:r>
          </w:p>
          <w:p>
            <w:pPr>
              <w:spacing w:after="20"/>
              <w:ind w:left="20"/>
              <w:jc w:val="both"/>
            </w:pPr>
          </w:p>
          <w:p>
            <w:pPr>
              <w:spacing w:after="20"/>
              <w:ind w:left="20"/>
              <w:jc w:val="both"/>
            </w:pPr>
            <w:r>
              <w:rPr>
                <w:rFonts w:ascii="Times New Roman"/>
                <w:b w:val="false"/>
                <w:i/>
                <w:color w:val="000000"/>
                <w:sz w:val="20"/>
              </w:rPr>
              <w:t xml:space="preserve">министра здравоохранения </w:t>
            </w: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 xml:space="preserve">Министерство искусственного </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Министерство труда и социальной</w:t>
      </w:r>
    </w:p>
    <w:p>
      <w:pPr>
        <w:spacing w:after="0"/>
        <w:ind w:left="0"/>
        <w:jc w:val="both"/>
      </w:pPr>
      <w:r>
        <w:rPr>
          <w:rFonts w:ascii="Times New Roman"/>
          <w:b w:val="false"/>
          <w:i w:val="false"/>
          <w:color w:val="000000"/>
          <w:sz w:val="28"/>
        </w:rPr>
        <w:t>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16 сентября 2026 года</w:t>
            </w:r>
            <w:r>
              <w:br/>
            </w:r>
            <w:r>
              <w:rPr>
                <w:rFonts w:ascii="Times New Roman"/>
                <w:b w:val="false"/>
                <w:i w:val="false"/>
                <w:color w:val="000000"/>
                <w:sz w:val="20"/>
              </w:rPr>
              <w:t>№ 109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октября 2020 года</w:t>
            </w:r>
            <w:r>
              <w:br/>
            </w:r>
            <w:r>
              <w:rPr>
                <w:rFonts w:ascii="Times New Roman"/>
                <w:b w:val="false"/>
                <w:i w:val="false"/>
                <w:color w:val="000000"/>
                <w:sz w:val="20"/>
              </w:rPr>
              <w:t>№ ҚР ДСМ-131/2020</w:t>
            </w:r>
          </w:p>
        </w:tc>
      </w:tr>
    </w:tbl>
    <w:p>
      <w:pPr>
        <w:spacing w:after="0"/>
        <w:ind w:left="0"/>
        <w:jc w:val="left"/>
      </w:pPr>
      <w:r>
        <w:rPr>
          <w:rFonts w:ascii="Times New Roman"/>
          <w:b/>
          <w:i w:val="false"/>
          <w:color w:val="000000"/>
        </w:rPr>
        <w:t xml:space="preserve"> Целевые группы лиц, подлежащих обязательным медицинским осмотрам и объем лабораторных и функциональных исследований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группы лиц, подлежащих обязательным медицинским осмотрам</w:t>
            </w:r>
          </w:p>
          <w:p>
            <w:pPr>
              <w:spacing w:after="20"/>
              <w:ind w:left="20"/>
              <w:jc w:val="both"/>
            </w:pPr>
            <w:r>
              <w:rPr>
                <w:rFonts w:ascii="Times New Roman"/>
                <w:b w:val="false"/>
                <w:i w:val="false"/>
                <w:color w:val="000000"/>
                <w:sz w:val="20"/>
              </w:rPr>
              <w:t>
(декретированная группа населения и работники, занятые на тяжелых работах, работах с вредными и (или) опасными условиями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Лабораторные и функциональные исследования</w:t>
            </w:r>
          </w:p>
          <w:p>
            <w:pPr>
              <w:spacing w:after="20"/>
              <w:ind w:left="20"/>
              <w:jc w:val="both"/>
            </w:pPr>
            <w:r>
              <w:rPr>
                <w:rFonts w:ascii="Times New Roman"/>
                <w:b w:val="false"/>
                <w:i w:val="false"/>
                <w:color w:val="000000"/>
                <w:sz w:val="20"/>
              </w:rPr>
              <w:t>
(при поступлении на работу/учебу и согласно периодичности осмотров)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Периодичность осмотров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Работники объектов общественного питания, кремово-кондитерских производств и детских молочных кухонь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Обследование на сифилис, на носительство возбудителей: дизентерии, сальмонеллеза, брюшного тифа, паратифов А и В, патогенного стафилококка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6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пищевой промышленности и объектов продовольственной торговли, лица, занимающиеся перевозкой продовольственных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обследование на сифилис, на носительство возбудителей: дизентерии, сальмонеллеза, брюшного тифа, паратифов А и В, патогенного стафилококка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осуществляющие государственный контроль и надзор с посещением субъектов (объектов) контроля и надзора и (или) проверки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организаций по обслуживанию пассажиров (железнодорожных вокзалов, аэровокзалов, аэропортов, морских и речных вокзалов, автовокзалов, метрополитенов)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Проводники пассажирских поездов, стюарты речного, морского и авиатранспорта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обследование на сифилис, на носительство возбудителей: дизентерии, сальмонеллеза, брюшного тифа, паратифов А и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учебных заведений начального, среднего общего, профессионального, высшего образования, внешкольных учреждений, компьютерных клубов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перед началом учебного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сезонных детских и подростковых оздоровительных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сифилис, на носительство возбудителей: дизентерии, сальмонеллеза, брюшного тифа, паратифов А и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 началом сезона)</w:t>
            </w:r>
          </w:p>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дошкольных организаций, школ-интернатов, детских санаторных круглогодичных оздоровительных организаций, детских домов, работники домов семейного типа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сифилис, на носительство возбудителей дизентерии, сальмонеллеза, брюшного тифа, паратифов А и В, на носительство патогенного стафилококка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работники родильных домов (отделений), детских больниц (отделений), отделений патологии новорожденных, отделений недоношенных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сифилис, на носительство возбудителей: дизентерии, сальмонеллеза, брюшного тифа, паратифов А и В, патогенного стафилококка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Через каждые 12 месяцев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Медицинский персонал организаций службы крови, медицинские работники хирургического, гинекологического, акушерского, гематологического, стоматологического профилей и медицинские работники, проводящие инвазивные методы диагностики и лечения, медицинский персонал, занимающийся гемодиализом, а также медицинский персонал вирусологических, бактериологических, клинических, иммунологических и паразитологических лабораторий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Флюорография, обследование на ВИЧ, </w:t>
            </w:r>
          </w:p>
          <w:p>
            <w:pPr>
              <w:spacing w:after="20"/>
              <w:ind w:left="20"/>
              <w:jc w:val="both"/>
            </w:pPr>
            <w:r>
              <w:rPr>
                <w:rFonts w:ascii="Times New Roman"/>
                <w:b w:val="false"/>
                <w:i w:val="false"/>
                <w:color w:val="000000"/>
                <w:sz w:val="20"/>
              </w:rPr>
              <w:t>
маркеры вирусного гепатита* В и вирусного гепатита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p>
            <w:pPr>
              <w:spacing w:after="20"/>
              <w:ind w:left="20"/>
              <w:jc w:val="both"/>
            </w:pPr>
            <w:r>
              <w:rPr>
                <w:rFonts w:ascii="Times New Roman"/>
                <w:b w:val="false"/>
                <w:i w:val="false"/>
                <w:color w:val="000000"/>
                <w:sz w:val="20"/>
              </w:rPr>
              <w:t>
* Через каждые 6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персонал медицинских организаций, имеющий контакт с биологическим материалом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сифилис, на носительство патогенного стафилококка, на ВИЧ,</w:t>
            </w:r>
          </w:p>
          <w:p>
            <w:pPr>
              <w:spacing w:after="20"/>
              <w:ind w:left="20"/>
              <w:jc w:val="both"/>
            </w:pPr>
            <w:r>
              <w:rPr>
                <w:rFonts w:ascii="Times New Roman"/>
                <w:b w:val="false"/>
                <w:i w:val="false"/>
                <w:color w:val="000000"/>
                <w:sz w:val="20"/>
              </w:rPr>
              <w:t>
маркеры вирусного гепатита* В и вирусного гепатита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медицинских организаций, работа которых не связана с инвазивными процедурами (за исключением контингента, указанного в пункте 9 настоящего приложения)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носительство возбудителей: дизентерии, сальмонеллеза, брюшного тифа, паратифов А и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санаториев, домов отдыха, пансионатов, интернатов и организаций, оказывающих специальные социальные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носительство возбудителей: дизентерии, сальмонеллеза, брюшного тифа, паратифов А и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сферы обслуживания (бани, душевые, сауны, парикмахерские, косметологические салоны, прачечные, химчистки), работники бассейнов и водолечебниц, грязелечебниц, спортивно-оздоровительных организаций, менеджеры, администраторы, заведующие этажами гостиниц, мотелей, общежитий, кемпингов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xml:space="preserve">
Обследование на сифилис, </w:t>
            </w:r>
          </w:p>
          <w:p>
            <w:pPr>
              <w:spacing w:after="20"/>
              <w:ind w:left="20"/>
              <w:jc w:val="both"/>
            </w:pPr>
            <w:r>
              <w:rPr>
                <w:rFonts w:ascii="Times New Roman"/>
                <w:b w:val="false"/>
                <w:i w:val="false"/>
                <w:color w:val="000000"/>
                <w:sz w:val="20"/>
              </w:rPr>
              <w:t>
в том числе, осуществляющие инъекции и манипуляции с нарушением целостности кожных покровов и слизистых обследуются на маркеры вирусных гепатитов* В и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p>
            <w:pPr>
              <w:spacing w:after="20"/>
              <w:ind w:left="20"/>
              <w:jc w:val="both"/>
            </w:pPr>
            <w:r>
              <w:rPr>
                <w:rFonts w:ascii="Times New Roman"/>
                <w:b w:val="false"/>
                <w:i w:val="false"/>
                <w:color w:val="000000"/>
                <w:sz w:val="20"/>
              </w:rPr>
              <w:t>
* через каждые 6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аптек, фармацевтических организаций (заводы, фабрики, склады), занятые изготовлением, фасовкой и реализацией лекарственных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водопроводных сооружений, имеющие непосредственное отношение к подготовке воды, лица, обслуживающие водопроводные сети, работники производственных лабораторий, объектов водоснабжения и канализации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обследование на сифилис, на носительство возбудителей: дизентерии; сальмонеллеза; брюшного тифа; паратифов А и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(студенты) общеобразовательных школ, средних специальных и высших учебных заведений перед началом и в период прохождения практики в организациях, как работники, которых подлежат обязательным медицинским осмотрам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xml:space="preserve">
Лабораторные и функциональные исследования проводятся в соответствии с категорией организации, в которой будет проходить практику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осмотров соответствует с категорией организации, в которой будет проходить практику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поступающие на учебу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обследование на сифилис, на психоактивные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 поступлением на учебу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занятые на тяжелых работах, работах с вредными и (или) опасными условиями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Согласно </w:t>
            </w:r>
            <w:r>
              <w:rPr>
                <w:rFonts w:ascii="Times New Roman"/>
                <w:b w:val="false"/>
                <w:i w:val="false"/>
                <w:color w:val="000000"/>
                <w:sz w:val="20"/>
              </w:rPr>
              <w:t>приложению 4</w:t>
            </w:r>
            <w:r>
              <w:rPr>
                <w:rFonts w:ascii="Times New Roman"/>
                <w:b w:val="false"/>
                <w:i w:val="false"/>
                <w:color w:val="000000"/>
                <w:sz w:val="20"/>
              </w:rPr>
              <w:t xml:space="preserve"> к приказу</w:t>
            </w:r>
          </w:p>
          <w:p>
            <w:pPr>
              <w:spacing w:after="20"/>
              <w:ind w:left="20"/>
              <w:jc w:val="both"/>
            </w:pPr>
            <w:r>
              <w:rPr>
                <w:rFonts w:ascii="Times New Roman"/>
                <w:b w:val="false"/>
                <w:i w:val="false"/>
                <w:color w:val="000000"/>
                <w:sz w:val="20"/>
              </w:rPr>
              <w:t>
исполняющего обязанности</w:t>
            </w:r>
          </w:p>
          <w:p>
            <w:pPr>
              <w:spacing w:after="20"/>
              <w:ind w:left="20"/>
              <w:jc w:val="both"/>
            </w:pPr>
            <w:r>
              <w:rPr>
                <w:rFonts w:ascii="Times New Roman"/>
                <w:b w:val="false"/>
                <w:i w:val="false"/>
                <w:color w:val="000000"/>
                <w:sz w:val="20"/>
              </w:rPr>
              <w:t>
Министра здравоохранения</w:t>
            </w:r>
          </w:p>
          <w:p>
            <w:pPr>
              <w:spacing w:after="20"/>
              <w:ind w:left="20"/>
              <w:jc w:val="both"/>
            </w:pPr>
            <w:r>
              <w:rPr>
                <w:rFonts w:ascii="Times New Roman"/>
                <w:b w:val="false"/>
                <w:i w:val="false"/>
                <w:color w:val="000000"/>
                <w:sz w:val="20"/>
              </w:rPr>
              <w:t>
Республики Казахстан</w:t>
            </w:r>
          </w:p>
          <w:p>
            <w:pPr>
              <w:spacing w:after="20"/>
              <w:ind w:left="20"/>
              <w:jc w:val="both"/>
            </w:pPr>
            <w:r>
              <w:rPr>
                <w:rFonts w:ascii="Times New Roman"/>
                <w:b w:val="false"/>
                <w:i w:val="false"/>
                <w:color w:val="000000"/>
                <w:sz w:val="20"/>
              </w:rPr>
              <w:t>
от 15 октября 2020 года</w:t>
            </w:r>
          </w:p>
          <w:p>
            <w:pPr>
              <w:spacing w:after="20"/>
              <w:ind w:left="20"/>
              <w:jc w:val="both"/>
            </w:pPr>
            <w:r>
              <w:rPr>
                <w:rFonts w:ascii="Times New Roman"/>
                <w:b w:val="false"/>
                <w:i w:val="false"/>
                <w:color w:val="000000"/>
                <w:sz w:val="20"/>
              </w:rPr>
              <w:t>
№ ҚР ДСМ-131/2020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год</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1. Обязательному флюорографическому обследованию подлежат лица, указанные в пунктах 80 и 81 Правил проведения мероприятий по профилактике туберкулеза,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30 ноября 2020 года № ҚР ДСМ-214/2020 (зарегистрирован в Реестре государственной регистрации нормативных правовых актов под № 21695)</w:t>
      </w:r>
    </w:p>
    <w:p>
      <w:pPr>
        <w:spacing w:after="0"/>
        <w:ind w:left="0"/>
        <w:jc w:val="both"/>
      </w:pPr>
      <w:r>
        <w:rPr>
          <w:rFonts w:ascii="Times New Roman"/>
          <w:b w:val="false"/>
          <w:i w:val="false"/>
          <w:color w:val="000000"/>
          <w:sz w:val="28"/>
        </w:rPr>
        <w:t xml:space="preserve">
      2. Объем и периодичность лабораторных и функциональных исследований на кишечные инфекции, паразитарные заболевания, вирусные гепатиты и ВИЧ-инфекции определяются </w:t>
      </w:r>
      <w:r>
        <w:rPr>
          <w:rFonts w:ascii="Times New Roman"/>
          <w:b w:val="false"/>
          <w:i w:val="false"/>
          <w:color w:val="000000"/>
          <w:sz w:val="28"/>
        </w:rPr>
        <w:t>приказами</w:t>
      </w:r>
      <w:r>
        <w:rPr>
          <w:rFonts w:ascii="Times New Roman"/>
          <w:b w:val="false"/>
          <w:i w:val="false"/>
          <w:color w:val="000000"/>
          <w:sz w:val="28"/>
        </w:rPr>
        <w:t xml:space="preserve"> Министра здравоохранения Республики Казахстан от 5 октября 2022 года № ҚР ДСМ-111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 (зарегистрирован в Реестре государственной регистрации нормативных правовых актов № 30078), от 16 мая 2022 года № ҚР ДСМ-44 "</w:t>
      </w:r>
      <w:r>
        <w:rPr>
          <w:rFonts w:ascii="Times New Roman"/>
          <w:b w:val="false"/>
          <w:i w:val="false"/>
          <w:color w:val="000000"/>
          <w:sz w:val="28"/>
        </w:rPr>
        <w:t>Об утверждении Санитарных правил "Санитарно-эпидемиологические требования к организации и проведению санитарно-противоэпидемических и санитарно-профилактических мероприятий по предупреждению паразитарных заболеваний</w:t>
      </w:r>
      <w:r>
        <w:rPr>
          <w:rFonts w:ascii="Times New Roman"/>
          <w:b w:val="false"/>
          <w:i w:val="false"/>
          <w:color w:val="000000"/>
          <w:sz w:val="28"/>
        </w:rPr>
        <w:t>" (зарегистрирован в Реестре государственной регистрации нормативных правовых актов под № 28086) и от 26 мая 2021 года № ҚР ДСМ – 44 "</w:t>
      </w:r>
      <w:r>
        <w:rPr>
          <w:rFonts w:ascii="Times New Roman"/>
          <w:b w:val="false"/>
          <w:i w:val="false"/>
          <w:color w:val="000000"/>
          <w:sz w:val="28"/>
        </w:rPr>
        <w:t>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вирусным гепатитам и ВИЧ-инфекции</w:t>
      </w:r>
      <w:r>
        <w:rPr>
          <w:rFonts w:ascii="Times New Roman"/>
          <w:b w:val="false"/>
          <w:i w:val="false"/>
          <w:color w:val="000000"/>
          <w:sz w:val="28"/>
        </w:rPr>
        <w:t>" (зарегистрирован в Реестре государственной регистрации нормативных правовых актов под № 22869).</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16 сентября 2026 года</w:t>
            </w:r>
            <w:r>
              <w:br/>
            </w:r>
            <w:r>
              <w:rPr>
                <w:rFonts w:ascii="Times New Roman"/>
                <w:b w:val="false"/>
                <w:i w:val="false"/>
                <w:color w:val="000000"/>
                <w:sz w:val="20"/>
              </w:rPr>
              <w:t>№ 109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проведения обязательных</w:t>
            </w:r>
            <w:r>
              <w:br/>
            </w:r>
            <w:r>
              <w:rPr>
                <w:rFonts w:ascii="Times New Roman"/>
                <w:b w:val="false"/>
                <w:i w:val="false"/>
                <w:color w:val="000000"/>
                <w:sz w:val="20"/>
              </w:rPr>
              <w:t>медицинских осмотров</w:t>
            </w:r>
            <w:r>
              <w:br/>
            </w:r>
            <w:r>
              <w:rPr>
                <w:rFonts w:ascii="Times New Roman"/>
                <w:b w:val="false"/>
                <w:i w:val="false"/>
                <w:color w:val="000000"/>
                <w:sz w:val="20"/>
              </w:rPr>
              <w:t>и оказания государственной</w:t>
            </w:r>
            <w:r>
              <w:br/>
            </w:r>
            <w:r>
              <w:rPr>
                <w:rFonts w:ascii="Times New Roman"/>
                <w:b w:val="false"/>
                <w:i w:val="false"/>
                <w:color w:val="000000"/>
                <w:sz w:val="20"/>
              </w:rPr>
              <w:t>услуги "Прохождение</w:t>
            </w:r>
            <w:r>
              <w:br/>
            </w:r>
            <w:r>
              <w:rPr>
                <w:rFonts w:ascii="Times New Roman"/>
                <w:b w:val="false"/>
                <w:i w:val="false"/>
                <w:color w:val="000000"/>
                <w:sz w:val="20"/>
              </w:rPr>
              <w:t>предварительных обязательных</w:t>
            </w:r>
            <w:r>
              <w:br/>
            </w:r>
            <w:r>
              <w:rPr>
                <w:rFonts w:ascii="Times New Roman"/>
                <w:b w:val="false"/>
                <w:i w:val="false"/>
                <w:color w:val="000000"/>
                <w:sz w:val="20"/>
              </w:rPr>
              <w:t>медицинских осмотров"</w:t>
            </w:r>
          </w:p>
        </w:tc>
      </w:tr>
    </w:tbl>
    <w:p>
      <w:pPr>
        <w:spacing w:after="0"/>
        <w:ind w:left="0"/>
        <w:jc w:val="left"/>
      </w:pPr>
      <w:r>
        <w:rPr>
          <w:rFonts w:ascii="Times New Roman"/>
          <w:b/>
          <w:i w:val="false"/>
          <w:color w:val="000000"/>
        </w:rPr>
        <w:t xml:space="preserve"> Перечень основных требований к оказанию государственной услуги "Прохождение предварительных обязательных медицинских осмотров"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p>
            <w:pPr>
              <w:spacing w:after="20"/>
              <w:ind w:left="20"/>
              <w:jc w:val="both"/>
            </w:pPr>
            <w:r>
              <w:rPr>
                <w:rFonts w:ascii="Times New Roman"/>
                <w:b w:val="false"/>
                <w:i w:val="false"/>
                <w:color w:val="000000"/>
                <w:sz w:val="20"/>
              </w:rPr>
              <w:t>
"Прохождение предварительных обязательных медицинских осмотров"</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организации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портал - с момента сдачи документа не более 30 (тридцати)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Медицинская справка (врачебное профессионально-консультативное заключение), выданная по форме № 075/у,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либо мотивированный ответ об отказе в оказании государственной услуги по основаниям, указанным в пункте 9 настоящего Перечня основных требований к оказанию государственной услуги "Прохождение предварительных обязательных медицинских осмотров".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платной основе, стоимость оказания государственной услуги определяется в соответствии со </w:t>
            </w:r>
            <w:r>
              <w:rPr>
                <w:rFonts w:ascii="Times New Roman"/>
                <w:b w:val="false"/>
                <w:i w:val="false"/>
                <w:color w:val="000000"/>
                <w:sz w:val="20"/>
              </w:rPr>
              <w:t>статьей 202</w:t>
            </w:r>
            <w:r>
              <w:rPr>
                <w:rFonts w:ascii="Times New Roman"/>
                <w:b w:val="false"/>
                <w:i w:val="false"/>
                <w:color w:val="000000"/>
                <w:sz w:val="20"/>
              </w:rPr>
              <w:t xml:space="preserve"> Кодекса Республики Казахстан "О здоровье народа и системе здравоохранения" (далее – Кодекс);</w:t>
            </w:r>
          </w:p>
          <w:p>
            <w:pPr>
              <w:spacing w:after="20"/>
              <w:ind w:left="20"/>
              <w:jc w:val="both"/>
            </w:pPr>
            <w:r>
              <w:rPr>
                <w:rFonts w:ascii="Times New Roman"/>
                <w:b w:val="false"/>
                <w:i w:val="false"/>
                <w:color w:val="000000"/>
                <w:sz w:val="20"/>
              </w:rPr>
              <w:t xml:space="preserve">
Бесплатно – детям до 18 лет по месту прикрепления при поступлении на учебу и трудоустройстве в соответствии с </w:t>
            </w:r>
            <w:r>
              <w:rPr>
                <w:rFonts w:ascii="Times New Roman"/>
                <w:b w:val="false"/>
                <w:i w:val="false"/>
                <w:color w:val="000000"/>
                <w:sz w:val="20"/>
              </w:rPr>
              <w:t>подпунктом 6)</w:t>
            </w:r>
            <w:r>
              <w:rPr>
                <w:rFonts w:ascii="Times New Roman"/>
                <w:b w:val="false"/>
                <w:i w:val="false"/>
                <w:color w:val="000000"/>
                <w:sz w:val="20"/>
              </w:rPr>
              <w:t xml:space="preserve"> пункта 1 статьи 78 Кодекса.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9.00 до 18.00 часов с перерывом на обед с 13-00 до 14-00часов, за исключением субботы, воскресенья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При этом каждый услугодатель утверждает работодателем режим работы в соответствии с правилами трудового распорядка согласно </w:t>
            </w:r>
            <w:r>
              <w:rPr>
                <w:rFonts w:ascii="Times New Roman"/>
                <w:b w:val="false"/>
                <w:i w:val="false"/>
                <w:color w:val="000000"/>
                <w:sz w:val="20"/>
              </w:rPr>
              <w:t>статьи 63</w:t>
            </w:r>
            <w:r>
              <w:rPr>
                <w:rFonts w:ascii="Times New Roman"/>
                <w:b w:val="false"/>
                <w:i w:val="false"/>
                <w:color w:val="000000"/>
                <w:sz w:val="20"/>
              </w:rPr>
              <w:t xml:space="preserve"> Трудового Кодекса;</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в форме электронного запроса. Сведения о документах, удостоверяющих личность, услугодатель получает из сервиса цифровых документов (для идентификации)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медицинской справки формы 075/у осуществляется только в электронном формате посредством внесения в медицинскую цифровую систему и подписанной ЭЦП врача.</w:t>
            </w:r>
          </w:p>
          <w:p>
            <w:pPr>
              <w:spacing w:after="20"/>
              <w:ind w:left="20"/>
              <w:jc w:val="both"/>
            </w:pPr>
            <w:r>
              <w:rPr>
                <w:rFonts w:ascii="Times New Roman"/>
                <w:b w:val="false"/>
                <w:i w:val="false"/>
                <w:color w:val="000000"/>
                <w:sz w:val="20"/>
              </w:rPr>
              <w:t>
При непосредственном обращении к услугодателю предоставляется возможность выбрать свободное время врачей, рентгенологического (флюорографического) обследования и лабораторных исследований согласно графика работы врачей, утвержденного услугодателем.</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Для людей с ограниченными физическими возможностями наличие пандуса, кнопки вызова, зала ожидания, стойки с образцами документов.</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16 сентября 2026 года</w:t>
            </w:r>
            <w:r>
              <w:br/>
            </w:r>
            <w:r>
              <w:rPr>
                <w:rFonts w:ascii="Times New Roman"/>
                <w:b w:val="false"/>
                <w:i w:val="false"/>
                <w:color w:val="000000"/>
                <w:sz w:val="20"/>
              </w:rPr>
              <w:t>№ 109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октября 2020 года</w:t>
            </w:r>
            <w:r>
              <w:br/>
            </w:r>
            <w:r>
              <w:rPr>
                <w:rFonts w:ascii="Times New Roman"/>
                <w:b w:val="false"/>
                <w:i w:val="false"/>
                <w:color w:val="000000"/>
                <w:sz w:val="20"/>
              </w:rPr>
              <w:t>№ ҚР ДСМ-131/2020</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Медицинские противопоказания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противопоказания к допуску на работу во вредных и /или опасных условиях труда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нервной системы:</w:t>
            </w:r>
          </w:p>
          <w:p>
            <w:pPr>
              <w:spacing w:after="20"/>
              <w:ind w:left="20"/>
              <w:jc w:val="both"/>
            </w:pPr>
            <w:r>
              <w:rPr>
                <w:rFonts w:ascii="Times New Roman"/>
                <w:b w:val="false"/>
                <w:i w:val="false"/>
                <w:color w:val="000000"/>
                <w:sz w:val="20"/>
              </w:rPr>
              <w:t>
1) врожденные аномалии органов с недостаточностью их функций (при работах не требующих достаточного функционирования отдельных органов работника, вопрос допуска к такой работе решается индивидуально);</w:t>
            </w:r>
          </w:p>
          <w:p>
            <w:pPr>
              <w:spacing w:after="20"/>
              <w:ind w:left="20"/>
              <w:jc w:val="both"/>
            </w:pPr>
            <w:r>
              <w:rPr>
                <w:rFonts w:ascii="Times New Roman"/>
                <w:b w:val="false"/>
                <w:i w:val="false"/>
                <w:color w:val="000000"/>
                <w:sz w:val="20"/>
              </w:rPr>
              <w:t>
2) последствия повреждений центральной и периферической нервной системы, внутренних органов и опорно-двигательного аппарата от воздействия внешних факторов: радиация, термическое, химическое и другие воздействия с развитием необратимых изменений, вызвавших нарушения функции органов и систем, препятствующие выполнению работы по профессии;</w:t>
            </w:r>
          </w:p>
          <w:p>
            <w:pPr>
              <w:spacing w:after="20"/>
              <w:ind w:left="20"/>
              <w:jc w:val="both"/>
            </w:pPr>
            <w:r>
              <w:rPr>
                <w:rFonts w:ascii="Times New Roman"/>
                <w:b w:val="false"/>
                <w:i w:val="false"/>
                <w:color w:val="000000"/>
                <w:sz w:val="20"/>
              </w:rPr>
              <w:t>
3) травмы головного и спинного мозга, цереброваскулярные болезни, а также их последствия, сопровождающиеся выраженными неврологическими нарушениями;</w:t>
            </w:r>
          </w:p>
          <w:p>
            <w:pPr>
              <w:spacing w:after="20"/>
              <w:ind w:left="20"/>
              <w:jc w:val="both"/>
            </w:pPr>
            <w:r>
              <w:rPr>
                <w:rFonts w:ascii="Times New Roman"/>
                <w:b w:val="false"/>
                <w:i w:val="false"/>
                <w:color w:val="000000"/>
                <w:sz w:val="20"/>
              </w:rPr>
              <w:t>
4) органические заболевания нервной системы с двигательными и чувствительными нарушениями, расстройствами функций (сирингомиелия и сирингобульбия, миелопатия, детский церебральный паралич и его последствия, поражения экстрапирамидных структур, пирамидной и мозжечковой системы, боковой амиотрофический склероз, дегенеративные заболевания, факоматозы, рассеянный склероз, последствия острой диссеминированной демиелинизации, диффузный склероз, последствия острых сосудистых заболеваний головного и спинного мозга, хроническая недостаточность мозгового кровообращения - дисциркуляторная энцефалопатия II стадии и более и другие органические заболевания);</w:t>
            </w:r>
          </w:p>
          <w:p>
            <w:pPr>
              <w:spacing w:after="20"/>
              <w:ind w:left="20"/>
              <w:jc w:val="both"/>
            </w:pPr>
            <w:r>
              <w:rPr>
                <w:rFonts w:ascii="Times New Roman"/>
                <w:b w:val="false"/>
                <w:i w:val="false"/>
                <w:color w:val="000000"/>
                <w:sz w:val="20"/>
              </w:rPr>
              <w:t>
5) хронические воспалительные болезни центральной нервной системы (энцефалит, менингоэнцефалит, менингит, миелит, энцефаломиелит и другие) и их последствия с выраженными неврологическими нарушениями;</w:t>
            </w:r>
          </w:p>
          <w:p>
            <w:pPr>
              <w:spacing w:after="20"/>
              <w:ind w:left="20"/>
              <w:jc w:val="both"/>
            </w:pPr>
            <w:r>
              <w:rPr>
                <w:rFonts w:ascii="Times New Roman"/>
                <w:b w:val="false"/>
                <w:i w:val="false"/>
                <w:color w:val="000000"/>
                <w:sz w:val="20"/>
              </w:rPr>
              <w:t>
6) выраженная и осложненная мигрень, преходящие транзиторные церебральные ишемические приступы и родственные синдромы, нарколепсия, каталепсия, различные виды потерь сознания, пароксизмы нарушения зрения, слуха, синкопальные состояния и другие;</w:t>
            </w:r>
          </w:p>
          <w:p>
            <w:pPr>
              <w:spacing w:after="20"/>
              <w:ind w:left="20"/>
              <w:jc w:val="both"/>
            </w:pPr>
            <w:r>
              <w:rPr>
                <w:rFonts w:ascii="Times New Roman"/>
                <w:b w:val="false"/>
                <w:i w:val="false"/>
                <w:color w:val="000000"/>
                <w:sz w:val="20"/>
              </w:rPr>
              <w:t>
7) наследственные заболевания нервной системы, препятствующие выполнению работы по профессии;</w:t>
            </w:r>
          </w:p>
          <w:p>
            <w:pPr>
              <w:spacing w:after="20"/>
              <w:ind w:left="20"/>
              <w:jc w:val="both"/>
            </w:pPr>
            <w:r>
              <w:rPr>
                <w:rFonts w:ascii="Times New Roman"/>
                <w:b w:val="false"/>
                <w:i w:val="false"/>
                <w:color w:val="000000"/>
                <w:sz w:val="20"/>
              </w:rPr>
              <w:t>
8) хронические заболевания периферической нервной системы, нервно-мышечные заболевания со стойкими нарушениями функций, препятствующие выполнению работы по профессии;</w:t>
            </w:r>
          </w:p>
          <w:p>
            <w:pPr>
              <w:spacing w:after="20"/>
              <w:ind w:left="20"/>
              <w:jc w:val="both"/>
            </w:pPr>
            <w:r>
              <w:rPr>
                <w:rFonts w:ascii="Times New Roman"/>
                <w:b w:val="false"/>
                <w:i w:val="false"/>
                <w:color w:val="000000"/>
                <w:sz w:val="20"/>
              </w:rPr>
              <w:t>
9) злокачественные и доброкачественные заболевания головного мозга, злокачественные заболевания спинного мозга и периферической нервной системы.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и расстройства поведения:</w:t>
            </w:r>
          </w:p>
          <w:p>
            <w:pPr>
              <w:spacing w:after="20"/>
              <w:ind w:left="20"/>
              <w:jc w:val="both"/>
            </w:pPr>
            <w:r>
              <w:rPr>
                <w:rFonts w:ascii="Times New Roman"/>
                <w:b w:val="false"/>
                <w:i w:val="false"/>
                <w:color w:val="000000"/>
                <w:sz w:val="20"/>
              </w:rPr>
              <w:t>
1) хронические психические и поведенческие расстройства с тяжелыми стойкими или с часто обостряющимися болезненными проявлениями, эпилепсия с пароксизмальными расстройствами;</w:t>
            </w:r>
          </w:p>
          <w:p>
            <w:pPr>
              <w:spacing w:after="20"/>
              <w:ind w:left="20"/>
              <w:jc w:val="both"/>
            </w:pPr>
            <w:r>
              <w:rPr>
                <w:rFonts w:ascii="Times New Roman"/>
                <w:b w:val="false"/>
                <w:i w:val="false"/>
                <w:color w:val="000000"/>
                <w:sz w:val="20"/>
              </w:rPr>
              <w:t>
2) органические, включая симптоматические, психические расстройства;</w:t>
            </w:r>
          </w:p>
          <w:p>
            <w:pPr>
              <w:spacing w:after="20"/>
              <w:ind w:left="20"/>
              <w:jc w:val="both"/>
            </w:pPr>
            <w:r>
              <w:rPr>
                <w:rFonts w:ascii="Times New Roman"/>
                <w:b w:val="false"/>
                <w:i w:val="false"/>
                <w:color w:val="000000"/>
                <w:sz w:val="20"/>
              </w:rPr>
              <w:t>
3) психические расстройства и расстройства поведения, связанные с употреблением психоактивных веществ (кроме стадии стойкой ремиссии не менее 3-х лет);</w:t>
            </w:r>
          </w:p>
          <w:p>
            <w:pPr>
              <w:spacing w:after="20"/>
              <w:ind w:left="20"/>
              <w:jc w:val="both"/>
            </w:pPr>
            <w:r>
              <w:rPr>
                <w:rFonts w:ascii="Times New Roman"/>
                <w:b w:val="false"/>
                <w:i w:val="false"/>
                <w:color w:val="000000"/>
                <w:sz w:val="20"/>
              </w:rPr>
              <w:t>
4) шизофрения, шизофренические и бредовые расстройства;</w:t>
            </w:r>
          </w:p>
          <w:p>
            <w:pPr>
              <w:spacing w:after="20"/>
              <w:ind w:left="20"/>
              <w:jc w:val="both"/>
            </w:pPr>
            <w:r>
              <w:rPr>
                <w:rFonts w:ascii="Times New Roman"/>
                <w:b w:val="false"/>
                <w:i w:val="false"/>
                <w:color w:val="000000"/>
                <w:sz w:val="20"/>
              </w:rPr>
              <w:t>
5) расстройства настроения (аффективные расстройства) кроме стойкой глубокой ремиссии приближенной к интермиссии не менее 3-х лет;</w:t>
            </w:r>
          </w:p>
          <w:p>
            <w:pPr>
              <w:spacing w:after="20"/>
              <w:ind w:left="20"/>
              <w:jc w:val="both"/>
            </w:pPr>
            <w:r>
              <w:rPr>
                <w:rFonts w:ascii="Times New Roman"/>
                <w:b w:val="false"/>
                <w:i w:val="false"/>
                <w:color w:val="000000"/>
                <w:sz w:val="20"/>
              </w:rPr>
              <w:t>
6) невротические, связанные со стрессом и соматоформные расстройства (по решению врачебно-консультативной комиссии (далее - ВКК);</w:t>
            </w:r>
          </w:p>
          <w:p>
            <w:pPr>
              <w:spacing w:after="20"/>
              <w:ind w:left="20"/>
              <w:jc w:val="both"/>
            </w:pPr>
            <w:r>
              <w:rPr>
                <w:rFonts w:ascii="Times New Roman"/>
                <w:b w:val="false"/>
                <w:i w:val="false"/>
                <w:color w:val="000000"/>
                <w:sz w:val="20"/>
              </w:rPr>
              <w:t>
7) поведенческие синдромы, связанные с физиологическими нарушениями и физическими факторами (решение ВКК);</w:t>
            </w:r>
          </w:p>
          <w:p>
            <w:pPr>
              <w:spacing w:after="20"/>
              <w:ind w:left="20"/>
              <w:jc w:val="both"/>
            </w:pPr>
            <w:r>
              <w:rPr>
                <w:rFonts w:ascii="Times New Roman"/>
                <w:b w:val="false"/>
                <w:i w:val="false"/>
                <w:color w:val="000000"/>
                <w:sz w:val="20"/>
              </w:rPr>
              <w:t>
8) расстройства личности и поведения в зрелом возрасте;</w:t>
            </w:r>
          </w:p>
          <w:p>
            <w:pPr>
              <w:spacing w:after="20"/>
              <w:ind w:left="20"/>
              <w:jc w:val="both"/>
            </w:pPr>
            <w:r>
              <w:rPr>
                <w:rFonts w:ascii="Times New Roman"/>
                <w:b w:val="false"/>
                <w:i w:val="false"/>
                <w:color w:val="000000"/>
                <w:sz w:val="20"/>
              </w:rPr>
              <w:t>
9) умственная отсталость;</w:t>
            </w:r>
          </w:p>
          <w:p>
            <w:pPr>
              <w:spacing w:after="20"/>
              <w:ind w:left="20"/>
              <w:jc w:val="both"/>
            </w:pPr>
            <w:r>
              <w:rPr>
                <w:rFonts w:ascii="Times New Roman"/>
                <w:b w:val="false"/>
                <w:i w:val="false"/>
                <w:color w:val="000000"/>
                <w:sz w:val="20"/>
              </w:rPr>
              <w:t>
10) эмоциональные расстройства и расстройства поведения, начинающиеся обычно в детском и подростковом возрасте;</w:t>
            </w:r>
          </w:p>
          <w:p>
            <w:pPr>
              <w:spacing w:after="20"/>
              <w:ind w:left="20"/>
              <w:jc w:val="both"/>
            </w:pPr>
            <w:r>
              <w:rPr>
                <w:rFonts w:ascii="Times New Roman"/>
                <w:b w:val="false"/>
                <w:i w:val="false"/>
                <w:color w:val="000000"/>
                <w:sz w:val="20"/>
              </w:rPr>
              <w:t>
11) состояния после суицидальной попытки при всех психических заболеваниях;</w:t>
            </w:r>
          </w:p>
          <w:p>
            <w:pPr>
              <w:spacing w:after="20"/>
              <w:ind w:left="20"/>
              <w:jc w:val="both"/>
            </w:pPr>
            <w:r>
              <w:rPr>
                <w:rFonts w:ascii="Times New Roman"/>
                <w:b w:val="false"/>
                <w:i w:val="false"/>
                <w:color w:val="000000"/>
                <w:sz w:val="20"/>
              </w:rPr>
              <w:t>
12) алкоголизм, наркомания, токсикомания;</w:t>
            </w:r>
          </w:p>
          <w:p>
            <w:pPr>
              <w:spacing w:after="20"/>
              <w:ind w:left="20"/>
              <w:jc w:val="both"/>
            </w:pPr>
            <w:r>
              <w:rPr>
                <w:rFonts w:ascii="Times New Roman"/>
                <w:b w:val="false"/>
                <w:i w:val="false"/>
                <w:color w:val="000000"/>
                <w:sz w:val="20"/>
              </w:rPr>
              <w:t>
13) эпилепсия.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Соматические заболевания:</w:t>
            </w:r>
          </w:p>
          <w:p>
            <w:pPr>
              <w:spacing w:after="20"/>
              <w:ind w:left="20"/>
              <w:jc w:val="both"/>
            </w:pPr>
            <w:r>
              <w:rPr>
                <w:rFonts w:ascii="Times New Roman"/>
                <w:b w:val="false"/>
                <w:i w:val="false"/>
                <w:color w:val="000000"/>
                <w:sz w:val="20"/>
              </w:rPr>
              <w:t>
1) артериальная гипертензия 2-3 степени высокого и очень высокого риска, а также при сохранении артериальной гипертензии с артериальным давлением&gt; 150/90 миллиметров ртутного столба (далее – мм.рт.ст.), вне зависимости от медикаментозной коррекции артериального давления;</w:t>
            </w:r>
          </w:p>
          <w:p>
            <w:pPr>
              <w:spacing w:after="20"/>
              <w:ind w:left="20"/>
              <w:jc w:val="both"/>
            </w:pPr>
            <w:r>
              <w:rPr>
                <w:rFonts w:ascii="Times New Roman"/>
                <w:b w:val="false"/>
                <w:i w:val="false"/>
                <w:color w:val="000000"/>
                <w:sz w:val="20"/>
              </w:rPr>
              <w:t xml:space="preserve">
2) хронические болезни миокарда, эндокарда и перикарда (в том числе миокардиты, кардиомиопатии любого генеза с хронической сердечной недостаточностью II-IV функциональный класс (далее – СН II-IV ФК) (NYHA), эндокардиты (инфекционный эндокардит, в т.ч. после хирургической коррекции клапанной патологии, или в неактивной фазе), рецидивирующий и адгезивно - констриктивный перикардиты), осложненные СН II-IV ФК (NYHA), тромбоэмболией, нарушениями ритма высоких градаций по Лауну и имеющие риск развития других пароксизмальных состояний; </w:t>
            </w:r>
          </w:p>
          <w:p>
            <w:pPr>
              <w:spacing w:after="20"/>
              <w:ind w:left="20"/>
              <w:jc w:val="both"/>
            </w:pPr>
            <w:r>
              <w:rPr>
                <w:rFonts w:ascii="Times New Roman"/>
                <w:b w:val="false"/>
                <w:i w:val="false"/>
                <w:color w:val="000000"/>
                <w:sz w:val="20"/>
              </w:rPr>
              <w:t xml:space="preserve">
3) легочная гипертензия любого генеза с II-IV ФК, в том числе состояние после тромбоэмболии легочной артерии; </w:t>
            </w:r>
          </w:p>
          <w:p>
            <w:pPr>
              <w:spacing w:after="20"/>
              <w:ind w:left="20"/>
              <w:jc w:val="both"/>
            </w:pPr>
            <w:r>
              <w:rPr>
                <w:rFonts w:ascii="Times New Roman"/>
                <w:b w:val="false"/>
                <w:i w:val="false"/>
                <w:color w:val="000000"/>
                <w:sz w:val="20"/>
              </w:rPr>
              <w:t>
4) коронарные заболевания сердца:</w:t>
            </w:r>
          </w:p>
          <w:p>
            <w:pPr>
              <w:spacing w:after="20"/>
              <w:ind w:left="20"/>
              <w:jc w:val="both"/>
            </w:pPr>
            <w:r>
              <w:rPr>
                <w:rFonts w:ascii="Times New Roman"/>
                <w:b w:val="false"/>
                <w:i w:val="false"/>
                <w:color w:val="000000"/>
                <w:sz w:val="20"/>
              </w:rPr>
              <w:t>
стабильная стенокардия II-IV функциональный класс с переоценкой через 6 месяцев;</w:t>
            </w:r>
          </w:p>
          <w:p>
            <w:pPr>
              <w:spacing w:after="20"/>
              <w:ind w:left="20"/>
              <w:jc w:val="both"/>
            </w:pPr>
            <w:r>
              <w:rPr>
                <w:rFonts w:ascii="Times New Roman"/>
                <w:b w:val="false"/>
                <w:i w:val="false"/>
                <w:color w:val="000000"/>
                <w:sz w:val="20"/>
              </w:rPr>
              <w:t>
острый инфаркт миокарда (далее – ОИМ) после реваскуляризации;</w:t>
            </w:r>
          </w:p>
          <w:p>
            <w:pPr>
              <w:spacing w:after="20"/>
              <w:ind w:left="20"/>
              <w:jc w:val="both"/>
            </w:pPr>
            <w:r>
              <w:rPr>
                <w:rFonts w:ascii="Times New Roman"/>
                <w:b w:val="false"/>
                <w:i w:val="false"/>
                <w:color w:val="000000"/>
                <w:sz w:val="20"/>
              </w:rPr>
              <w:t>
острый коронарный синдром (далее – ОКС)с последующей оптимальной медикаментозной терапией без реваскуляризации, СН II-IV ФК, с переоценкой через 6 месяцев;</w:t>
            </w:r>
          </w:p>
          <w:p>
            <w:pPr>
              <w:spacing w:after="20"/>
              <w:ind w:left="20"/>
              <w:jc w:val="both"/>
            </w:pPr>
            <w:r>
              <w:rPr>
                <w:rFonts w:ascii="Times New Roman"/>
                <w:b w:val="false"/>
                <w:i w:val="false"/>
                <w:color w:val="000000"/>
                <w:sz w:val="20"/>
              </w:rPr>
              <w:t>
ОКС с последующей реваскуляризацией;</w:t>
            </w:r>
          </w:p>
          <w:p>
            <w:pPr>
              <w:spacing w:after="20"/>
              <w:ind w:left="20"/>
              <w:jc w:val="both"/>
            </w:pPr>
            <w:r>
              <w:rPr>
                <w:rFonts w:ascii="Times New Roman"/>
                <w:b w:val="false"/>
                <w:i w:val="false"/>
                <w:color w:val="000000"/>
                <w:sz w:val="20"/>
              </w:rPr>
              <w:t>
ОИМ осложненный кардиогенным шоком, клинической смертью, механическим осложнением, в том числе повторный ОИМ;</w:t>
            </w:r>
          </w:p>
          <w:p>
            <w:pPr>
              <w:spacing w:after="20"/>
              <w:ind w:left="20"/>
              <w:jc w:val="both"/>
            </w:pPr>
            <w:r>
              <w:rPr>
                <w:rFonts w:ascii="Times New Roman"/>
                <w:b w:val="false"/>
                <w:i w:val="false"/>
                <w:color w:val="000000"/>
                <w:sz w:val="20"/>
              </w:rPr>
              <w:t xml:space="preserve">
5) аневризма аорты, острая, подострая, хроническая стадия диссекции аорты любого типа, неспецифический аортоартериит; </w:t>
            </w:r>
          </w:p>
          <w:p>
            <w:pPr>
              <w:spacing w:after="20"/>
              <w:ind w:left="20"/>
              <w:jc w:val="both"/>
            </w:pPr>
            <w:r>
              <w:rPr>
                <w:rFonts w:ascii="Times New Roman"/>
                <w:b w:val="false"/>
                <w:i w:val="false"/>
                <w:color w:val="000000"/>
                <w:sz w:val="20"/>
              </w:rPr>
              <w:t xml:space="preserve">
6) острая ревматическая лихорадка: активная фаза, частые рецидивы с поражением сердца и других органов, и систем, а также с последствиями перенесенных внесердечных поражений, мешающих выполнению работы по профессии во вредных условиях; </w:t>
            </w:r>
          </w:p>
          <w:p>
            <w:pPr>
              <w:spacing w:after="20"/>
              <w:ind w:left="20"/>
              <w:jc w:val="both"/>
            </w:pPr>
            <w:r>
              <w:rPr>
                <w:rFonts w:ascii="Times New Roman"/>
                <w:b w:val="false"/>
                <w:i w:val="false"/>
                <w:color w:val="000000"/>
                <w:sz w:val="20"/>
              </w:rPr>
              <w:t>
7) врожденные пороки сердца, в том числе после коррекции в детском возрасте при наличии резидуальных изменений и сердечной недостаточности II-IV ФК;</w:t>
            </w:r>
          </w:p>
          <w:p>
            <w:pPr>
              <w:spacing w:after="20"/>
              <w:ind w:left="20"/>
              <w:jc w:val="both"/>
            </w:pPr>
            <w:r>
              <w:rPr>
                <w:rFonts w:ascii="Times New Roman"/>
                <w:b w:val="false"/>
                <w:i w:val="false"/>
                <w:color w:val="000000"/>
                <w:sz w:val="20"/>
              </w:rPr>
              <w:t>
8) приобретенные клапанные пороки сердца (стадия C-D), в том числе после хирургической коррекции, механическим клапаном при наличии СН II-IV ФК. При протезировании биологическим клапаном переоценка состояния через 6 месяцев (после отмены антикогулянтной терапии), при сохранении СН II-IV ФК допуск противопоказан;</w:t>
            </w:r>
          </w:p>
          <w:p>
            <w:pPr>
              <w:spacing w:after="20"/>
              <w:ind w:left="20"/>
              <w:jc w:val="both"/>
            </w:pPr>
            <w:r>
              <w:rPr>
                <w:rFonts w:ascii="Times New Roman"/>
                <w:b w:val="false"/>
                <w:i w:val="false"/>
                <w:color w:val="000000"/>
                <w:sz w:val="20"/>
              </w:rPr>
              <w:t xml:space="preserve">
9) гемодинамически значимые брадиаритмии без имплантируемых кардиоустройств (электрокардиостимулятор, сердечная ресинхронизирующая терапия, импантируемый кардиовертердефибриллятор), СН ФК II-IV; </w:t>
            </w:r>
          </w:p>
          <w:p>
            <w:pPr>
              <w:spacing w:after="20"/>
              <w:ind w:left="20"/>
              <w:jc w:val="both"/>
            </w:pPr>
            <w:r>
              <w:rPr>
                <w:rFonts w:ascii="Times New Roman"/>
                <w:b w:val="false"/>
                <w:i w:val="false"/>
                <w:color w:val="000000"/>
                <w:sz w:val="20"/>
              </w:rPr>
              <w:t>
10) тахиаритмия при наличии частых и/или гемодинамически значимых пароксизмов при неэффективности антиаритмической терапии. В случае гемодинамически значимых тахиаритмий и эффективным лечением антиаритмическими и/или интервенционными методами допуск после верификации ремиссии двукратным 24-часовым холтер-мониторированием ЭКГ;</w:t>
            </w:r>
          </w:p>
          <w:p>
            <w:pPr>
              <w:spacing w:after="20"/>
              <w:ind w:left="20"/>
              <w:jc w:val="both"/>
            </w:pPr>
            <w:r>
              <w:rPr>
                <w:rFonts w:ascii="Times New Roman"/>
                <w:b w:val="false"/>
                <w:i w:val="false"/>
                <w:color w:val="000000"/>
                <w:sz w:val="20"/>
              </w:rPr>
              <w:t>
11) хронические болезни легких (хроническая обструктивная болезнь легких, интерстициальная пневмония, саркоидоз, эмфизема, бронхоэктатическая и другие неспецифические болезни легких II стадии и более) с частыми обострениями, наклонностью к кровотечениям, дыхательной недостаточностью II и III степени. Фиброзирующий альвеолит; Состояние после перенесенного спонтанного пневмоторакса;</w:t>
            </w:r>
          </w:p>
          <w:p>
            <w:pPr>
              <w:spacing w:after="20"/>
              <w:ind w:left="20"/>
              <w:jc w:val="both"/>
            </w:pPr>
            <w:r>
              <w:rPr>
                <w:rFonts w:ascii="Times New Roman"/>
                <w:b w:val="false"/>
                <w:i w:val="false"/>
                <w:color w:val="000000"/>
                <w:sz w:val="20"/>
              </w:rPr>
              <w:t>
12) бронхиальная астма тяжелой степени тяжести не контролируемая; бронхиальная астма, контролируемая - различной степени выраженности, вопрос допуска к работе решается в зависимости от условий труда;</w:t>
            </w:r>
          </w:p>
          <w:p>
            <w:pPr>
              <w:spacing w:after="20"/>
              <w:ind w:left="20"/>
              <w:jc w:val="both"/>
            </w:pPr>
            <w:r>
              <w:rPr>
                <w:rFonts w:ascii="Times New Roman"/>
                <w:b w:val="false"/>
                <w:i w:val="false"/>
                <w:color w:val="000000"/>
                <w:sz w:val="20"/>
              </w:rPr>
              <w:t>
13) хронические болезни органов пищеварения с тяжелым течением и выраженным болевым синдром, частыми обострениями, наклонностью к кровотечениям (в том числе язвенная болезнь желудка и 12-перстной кишки, последствия оперативного вмешательства, требующие диетического питания, соблюдения режима сна и ограничения физических нагрузок, энтерит, энтероколит, язвенный колит, болезнь Крона, холангит, холецистит, панкреатит, гепатит), печеночная недостаточность, цирроз печени;</w:t>
            </w:r>
          </w:p>
          <w:p>
            <w:pPr>
              <w:spacing w:after="20"/>
              <w:ind w:left="20"/>
              <w:jc w:val="both"/>
            </w:pPr>
            <w:r>
              <w:rPr>
                <w:rFonts w:ascii="Times New Roman"/>
                <w:b w:val="false"/>
                <w:i w:val="false"/>
                <w:color w:val="000000"/>
                <w:sz w:val="20"/>
              </w:rPr>
              <w:t>
14) хронические гломерулярные и тубоинтерстициальные болезни почек с почечной недостаточностью II (при устойчивом, даже небольшом повышении азотистых шлаков) и III степеней;</w:t>
            </w:r>
          </w:p>
          <w:p>
            <w:pPr>
              <w:spacing w:after="20"/>
              <w:ind w:left="20"/>
              <w:jc w:val="both"/>
            </w:pPr>
            <w:r>
              <w:rPr>
                <w:rFonts w:ascii="Times New Roman"/>
                <w:b w:val="false"/>
                <w:i w:val="false"/>
                <w:color w:val="000000"/>
                <w:sz w:val="20"/>
              </w:rPr>
              <w:t xml:space="preserve">
15) некомпенсированные и неблагоприятно протекающие болезни эндокринных органов (акромегалия со зрительными нарушениями, болезнь с синдромом Иценко-Кушинга, гипопитуитаризм, несахарный диабет; сахарный диабет I (инсулинозависимый) и II типа с поражением глаз, нервной, сердечно-сосудистой систем, почек или протекающий с острыми состояниями (гипогликемия, кетоацидоз); гиперинсулинизм и другие нарушения внутренней секреции поджелудочной железы с гипогликемией; выраженный тиреотоксикоз или гипотиреоз средней и тяжелой степени, диффузный и узловой зоб со сдавлением близлежащих органов и тканей; гиперпаратиреоз, гипопаратиреоз; феохромацитома, болезнь Аддисона, гиперальдостеронизм и другие); </w:t>
            </w:r>
          </w:p>
          <w:p>
            <w:pPr>
              <w:spacing w:after="20"/>
              <w:ind w:left="20"/>
              <w:jc w:val="both"/>
            </w:pPr>
            <w:r>
              <w:rPr>
                <w:rFonts w:ascii="Times New Roman"/>
                <w:b w:val="false"/>
                <w:i w:val="false"/>
                <w:color w:val="000000"/>
                <w:sz w:val="20"/>
              </w:rPr>
              <w:t xml:space="preserve">
16) тяжелые нарушения питания и обмена веществ. Ожирение III-IV степени с легочной или сердечной недостаточностью II-III степени; </w:t>
            </w:r>
          </w:p>
          <w:p>
            <w:pPr>
              <w:spacing w:after="20"/>
              <w:ind w:left="20"/>
              <w:jc w:val="both"/>
            </w:pPr>
            <w:r>
              <w:rPr>
                <w:rFonts w:ascii="Times New Roman"/>
                <w:b w:val="false"/>
                <w:i w:val="false"/>
                <w:color w:val="000000"/>
                <w:sz w:val="20"/>
              </w:rPr>
              <w:t xml:space="preserve">
17) хронические воспалительные полиартропатии (ревматоидные и другие артриты, подагра и другие обменные артропатии), сопровождающиеся нарушениями функции суставов II-IV степени; </w:t>
            </w:r>
          </w:p>
          <w:p>
            <w:pPr>
              <w:spacing w:after="20"/>
              <w:ind w:left="20"/>
              <w:jc w:val="both"/>
            </w:pPr>
            <w:r>
              <w:rPr>
                <w:rFonts w:ascii="Times New Roman"/>
                <w:b w:val="false"/>
                <w:i w:val="false"/>
                <w:color w:val="000000"/>
                <w:sz w:val="20"/>
              </w:rPr>
              <w:t xml:space="preserve">
18) системные заболевания соединительной ткани, в том числе узелковый периартериит, другие некротизирующие васкулопатии, системная красная волчанка, дерматополимиозит, системный склероз; </w:t>
            </w:r>
          </w:p>
          <w:p>
            <w:pPr>
              <w:spacing w:after="20"/>
              <w:ind w:left="20"/>
              <w:jc w:val="both"/>
            </w:pPr>
            <w:r>
              <w:rPr>
                <w:rFonts w:ascii="Times New Roman"/>
                <w:b w:val="false"/>
                <w:i w:val="false"/>
                <w:color w:val="000000"/>
                <w:sz w:val="20"/>
              </w:rPr>
              <w:t>
19) апластические и рецидивирующие аутоиммунные гемолитические анемии. Другие врожденные, рецидивирующие и прогрессирующие болезни крови и кроветворных органов. Злокачественные новообразования крови и родственной ей ткани;</w:t>
            </w:r>
          </w:p>
          <w:p>
            <w:pPr>
              <w:spacing w:after="20"/>
              <w:ind w:left="20"/>
              <w:jc w:val="both"/>
            </w:pPr>
            <w:r>
              <w:rPr>
                <w:rFonts w:ascii="Times New Roman"/>
                <w:b w:val="false"/>
                <w:i w:val="false"/>
                <w:color w:val="000000"/>
                <w:sz w:val="20"/>
              </w:rPr>
              <w:t>
20) хронические нарушения свертываемости крови, пурпура и другие геморрагические состояния;</w:t>
            </w:r>
          </w:p>
          <w:p>
            <w:pPr>
              <w:spacing w:after="20"/>
              <w:ind w:left="20"/>
              <w:jc w:val="both"/>
            </w:pPr>
            <w:r>
              <w:rPr>
                <w:rFonts w:ascii="Times New Roman"/>
                <w:b w:val="false"/>
                <w:i w:val="false"/>
                <w:color w:val="000000"/>
                <w:sz w:val="20"/>
              </w:rPr>
              <w:t>
21) состояние после анафилактического шока, вызванного аллергеном, повторное воздействие которого невозможно исключить.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Хирургические заболевания:</w:t>
            </w:r>
          </w:p>
          <w:p>
            <w:pPr>
              <w:spacing w:after="20"/>
              <w:ind w:left="20"/>
              <w:jc w:val="both"/>
            </w:pPr>
            <w:r>
              <w:rPr>
                <w:rFonts w:ascii="Times New Roman"/>
                <w:b w:val="false"/>
                <w:i w:val="false"/>
                <w:color w:val="000000"/>
                <w:sz w:val="20"/>
              </w:rPr>
              <w:t>
1) врожденные аномалии и деформации, в том числе укорочение конечности на 6 и более сантиметров. Состояние после переломов костей без консолидации и вяло консолидирующие переломы костей;</w:t>
            </w:r>
          </w:p>
          <w:p>
            <w:pPr>
              <w:spacing w:after="20"/>
              <w:ind w:left="20"/>
              <w:jc w:val="both"/>
            </w:pPr>
            <w:r>
              <w:rPr>
                <w:rFonts w:ascii="Times New Roman"/>
                <w:b w:val="false"/>
                <w:i w:val="false"/>
                <w:color w:val="000000"/>
                <w:sz w:val="20"/>
              </w:rPr>
              <w:t>
2) последствия травм и хирургических вмешательств, не указанные в других пунктах и сопровождающиеся стойкими нарушениями функции поврежденных органов, мешающими профессиональной деятельности;</w:t>
            </w:r>
          </w:p>
          <w:p>
            <w:pPr>
              <w:spacing w:after="20"/>
              <w:ind w:left="20"/>
              <w:jc w:val="both"/>
            </w:pPr>
            <w:r>
              <w:rPr>
                <w:rFonts w:ascii="Times New Roman"/>
                <w:b w:val="false"/>
                <w:i w:val="false"/>
                <w:color w:val="000000"/>
                <w:sz w:val="20"/>
              </w:rPr>
              <w:t>
3) хронические болезни костей, хрящей, крупных суставов конечностей и позвоночника со стойким нарушением профессионально значимых функций;</w:t>
            </w:r>
          </w:p>
          <w:p>
            <w:pPr>
              <w:spacing w:after="20"/>
              <w:ind w:left="20"/>
              <w:jc w:val="both"/>
            </w:pPr>
            <w:r>
              <w:rPr>
                <w:rFonts w:ascii="Times New Roman"/>
                <w:b w:val="false"/>
                <w:i w:val="false"/>
                <w:color w:val="000000"/>
                <w:sz w:val="20"/>
              </w:rPr>
              <w:t>
4) дефекты костей черепа, после проникающих черепно-мозговых травм или операции;</w:t>
            </w:r>
          </w:p>
          <w:p>
            <w:pPr>
              <w:spacing w:after="20"/>
              <w:ind w:left="20"/>
              <w:jc w:val="both"/>
            </w:pPr>
            <w:r>
              <w:rPr>
                <w:rFonts w:ascii="Times New Roman"/>
                <w:b w:val="false"/>
                <w:i w:val="false"/>
                <w:color w:val="000000"/>
                <w:sz w:val="20"/>
              </w:rPr>
              <w:t>
5) хронические гнойные болезни (абсцессы легких, брюшной полости, пиоторакс, парапроктит, кишечные, мочевые свищи и другие);</w:t>
            </w:r>
          </w:p>
          <w:p>
            <w:pPr>
              <w:spacing w:after="20"/>
              <w:ind w:left="20"/>
              <w:jc w:val="both"/>
            </w:pPr>
            <w:r>
              <w:rPr>
                <w:rFonts w:ascii="Times New Roman"/>
                <w:b w:val="false"/>
                <w:i w:val="false"/>
                <w:color w:val="000000"/>
                <w:sz w:val="20"/>
              </w:rPr>
              <w:t>
6) рубцовые сужения пищевода, диафрагмальные грыжи с выраженными нарушениями функции или осложненные;</w:t>
            </w:r>
          </w:p>
          <w:p>
            <w:pPr>
              <w:spacing w:after="20"/>
              <w:ind w:left="20"/>
              <w:jc w:val="both"/>
            </w:pPr>
            <w:r>
              <w:rPr>
                <w:rFonts w:ascii="Times New Roman"/>
                <w:b w:val="false"/>
                <w:i w:val="false"/>
                <w:color w:val="000000"/>
                <w:sz w:val="20"/>
              </w:rPr>
              <w:t>
7) симптомный дивертикулез, полипоз и другие симптомные доброкачественные новообразования пищеварительного тракта. Грыжи живота при работах связанных с подъемом тяжестей. При неосложненных грыжах живота, вопрос допуска к работе решается индивидуально в зависимости от условий труда;</w:t>
            </w:r>
          </w:p>
          <w:p>
            <w:pPr>
              <w:spacing w:after="20"/>
              <w:ind w:left="20"/>
              <w:jc w:val="both"/>
            </w:pPr>
            <w:r>
              <w:rPr>
                <w:rFonts w:ascii="Times New Roman"/>
                <w:b w:val="false"/>
                <w:i w:val="false"/>
                <w:color w:val="000000"/>
                <w:sz w:val="20"/>
              </w:rPr>
              <w:t>
8) желчнокаменная болезнь, с осложнениями (острый калькулезный холецистит, холедохолитиаз, механическая желтуха, холангит, острый панкреатит);</w:t>
            </w:r>
          </w:p>
          <w:p>
            <w:pPr>
              <w:spacing w:after="20"/>
              <w:ind w:left="20"/>
              <w:jc w:val="both"/>
            </w:pPr>
            <w:r>
              <w:rPr>
                <w:rFonts w:ascii="Times New Roman"/>
                <w:b w:val="false"/>
                <w:i w:val="false"/>
                <w:color w:val="000000"/>
                <w:sz w:val="20"/>
              </w:rPr>
              <w:t>
9) мочекаменная болезнь, хронические болезни пищеварительного тракта, мочевыделительных органов и предстательной железы, сопровождающиеся частыми обострениями (3-4 раза в год), недержанием или задержкой мочи;</w:t>
            </w:r>
          </w:p>
          <w:p>
            <w:pPr>
              <w:spacing w:after="20"/>
              <w:ind w:left="20"/>
              <w:jc w:val="both"/>
            </w:pPr>
            <w:r>
              <w:rPr>
                <w:rFonts w:ascii="Times New Roman"/>
                <w:b w:val="false"/>
                <w:i w:val="false"/>
                <w:color w:val="000000"/>
                <w:sz w:val="20"/>
              </w:rPr>
              <w:t>
10) стенозирующий атеросклероз периферических артерий, осложненный критической ишемией нижних конечностей.</w:t>
            </w:r>
          </w:p>
          <w:p>
            <w:pPr>
              <w:spacing w:after="20"/>
              <w:ind w:left="20"/>
              <w:jc w:val="both"/>
            </w:pPr>
            <w:r>
              <w:rPr>
                <w:rFonts w:ascii="Times New Roman"/>
                <w:b w:val="false"/>
                <w:i w:val="false"/>
                <w:color w:val="000000"/>
                <w:sz w:val="20"/>
              </w:rPr>
              <w:t>
Болезнь Бюргера, осложненный ишемией нижних конечностей. Синдром Рейно, осложненный ишемией конечностей. Аневризмы и другие болезни артерий с риском развития разрыва сосудистой стенки;</w:t>
            </w:r>
          </w:p>
          <w:p>
            <w:pPr>
              <w:spacing w:after="20"/>
              <w:ind w:left="20"/>
              <w:jc w:val="both"/>
            </w:pPr>
            <w:r>
              <w:rPr>
                <w:rFonts w:ascii="Times New Roman"/>
                <w:b w:val="false"/>
                <w:i w:val="false"/>
                <w:color w:val="000000"/>
                <w:sz w:val="20"/>
              </w:rPr>
              <w:t>
11) варикозное расширение вен нижних конечностей и тромбофлебит с выраженной хронической венозной недостаточностью и наличием трофических язв. Тромбофлебит, тромбоэмболическая болезнь.</w:t>
            </w:r>
          </w:p>
          <w:p>
            <w:pPr>
              <w:spacing w:after="20"/>
              <w:ind w:left="20"/>
              <w:jc w:val="both"/>
            </w:pPr>
            <w:r>
              <w:rPr>
                <w:rFonts w:ascii="Times New Roman"/>
                <w:b w:val="false"/>
                <w:i w:val="false"/>
                <w:color w:val="000000"/>
                <w:sz w:val="20"/>
              </w:rPr>
              <w:t>
 Геморрой 3-4 степени, осложненный с частыми кровотечениями;</w:t>
            </w:r>
          </w:p>
          <w:p>
            <w:pPr>
              <w:spacing w:after="20"/>
              <w:ind w:left="20"/>
              <w:jc w:val="both"/>
            </w:pPr>
            <w:r>
              <w:rPr>
                <w:rFonts w:ascii="Times New Roman"/>
                <w:b w:val="false"/>
                <w:i w:val="false"/>
                <w:color w:val="000000"/>
                <w:sz w:val="20"/>
              </w:rPr>
              <w:t>
12) лимфангиит, другие лимфоотеки - слоновость III степени;</w:t>
            </w:r>
          </w:p>
          <w:p>
            <w:pPr>
              <w:spacing w:after="20"/>
              <w:ind w:left="20"/>
              <w:jc w:val="both"/>
            </w:pPr>
            <w:r>
              <w:rPr>
                <w:rFonts w:ascii="Times New Roman"/>
                <w:b w:val="false"/>
                <w:i w:val="false"/>
                <w:color w:val="000000"/>
                <w:sz w:val="20"/>
              </w:rPr>
              <w:t>
13) злокачественные новообразования различных органов, после эффективного оперативного лечения вопрос о допуске решается индивидуально в зависимости от условий труда.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Кожные и венерические заболевания:</w:t>
            </w:r>
          </w:p>
          <w:p>
            <w:pPr>
              <w:spacing w:after="20"/>
              <w:ind w:left="20"/>
              <w:jc w:val="both"/>
            </w:pPr>
            <w:r>
              <w:rPr>
                <w:rFonts w:ascii="Times New Roman"/>
                <w:b w:val="false"/>
                <w:i w:val="false"/>
                <w:color w:val="000000"/>
                <w:sz w:val="20"/>
              </w:rPr>
              <w:t>
1) хронические заболевания кожи: хроническая распространенная, часто рецидивирующая экзема, псориаз универсальный, распространенный, артропатический, пустулезный, псориатическая эритродермия, хронический распространенный, часто рецидивирующий дерматит, хронический необратимый распространенный ихтиоз;</w:t>
            </w:r>
          </w:p>
          <w:p>
            <w:pPr>
              <w:spacing w:after="20"/>
              <w:ind w:left="20"/>
              <w:jc w:val="both"/>
            </w:pPr>
            <w:r>
              <w:rPr>
                <w:rFonts w:ascii="Times New Roman"/>
                <w:b w:val="false"/>
                <w:i w:val="false"/>
                <w:color w:val="000000"/>
                <w:sz w:val="20"/>
              </w:rPr>
              <w:t>
2) буллезные аутоиммунные нарушения: пузырчатка (пемфигус), пемфигоид, герпетиформный дерматит Дюринга;</w:t>
            </w:r>
          </w:p>
          <w:p>
            <w:pPr>
              <w:spacing w:after="20"/>
              <w:ind w:left="20"/>
              <w:jc w:val="both"/>
            </w:pPr>
            <w:r>
              <w:rPr>
                <w:rFonts w:ascii="Times New Roman"/>
                <w:b w:val="false"/>
                <w:i w:val="false"/>
                <w:color w:val="000000"/>
                <w:sz w:val="20"/>
              </w:rPr>
              <w:t>
3) гангренозная пиодермия, другие хронические пиодермии тяжелого течения;</w:t>
            </w:r>
          </w:p>
          <w:p>
            <w:pPr>
              <w:spacing w:after="20"/>
              <w:ind w:left="20"/>
              <w:jc w:val="both"/>
            </w:pPr>
            <w:r>
              <w:rPr>
                <w:rFonts w:ascii="Times New Roman"/>
                <w:b w:val="false"/>
                <w:i w:val="false"/>
                <w:color w:val="000000"/>
                <w:sz w:val="20"/>
              </w:rPr>
              <w:t>
4) опухоли кожи (саркома Капоши, меланома);</w:t>
            </w:r>
          </w:p>
          <w:p>
            <w:pPr>
              <w:spacing w:after="20"/>
              <w:ind w:left="20"/>
              <w:jc w:val="both"/>
            </w:pPr>
            <w:r>
              <w:rPr>
                <w:rFonts w:ascii="Times New Roman"/>
                <w:b w:val="false"/>
                <w:i w:val="false"/>
                <w:color w:val="000000"/>
                <w:sz w:val="20"/>
              </w:rPr>
              <w:t>
5) поздний нейросифилис;</w:t>
            </w:r>
          </w:p>
          <w:p>
            <w:pPr>
              <w:spacing w:after="20"/>
              <w:ind w:left="20"/>
              <w:jc w:val="both"/>
            </w:pPr>
            <w:r>
              <w:rPr>
                <w:rFonts w:ascii="Times New Roman"/>
                <w:b w:val="false"/>
                <w:i w:val="false"/>
                <w:color w:val="000000"/>
                <w:sz w:val="20"/>
              </w:rPr>
              <w:t>
6) кожные проявления склеродермии, эритематоза (фотосенсибили-зирующие формы).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Глазные заболевания:</w:t>
            </w:r>
          </w:p>
          <w:p>
            <w:pPr>
              <w:spacing w:after="20"/>
              <w:ind w:left="20"/>
              <w:jc w:val="both"/>
            </w:pPr>
            <w:r>
              <w:rPr>
                <w:rFonts w:ascii="Times New Roman"/>
                <w:b w:val="false"/>
                <w:i w:val="false"/>
                <w:color w:val="000000"/>
                <w:sz w:val="20"/>
              </w:rPr>
              <w:t>
1) глаукома;</w:t>
            </w:r>
          </w:p>
          <w:p>
            <w:pPr>
              <w:spacing w:after="20"/>
              <w:ind w:left="20"/>
              <w:jc w:val="both"/>
            </w:pPr>
            <w:r>
              <w:rPr>
                <w:rFonts w:ascii="Times New Roman"/>
                <w:b w:val="false"/>
                <w:i w:val="false"/>
                <w:color w:val="000000"/>
                <w:sz w:val="20"/>
              </w:rPr>
              <w:t>
2) хронические воспалительные заболевания глаз с частыми рецидивами;</w:t>
            </w:r>
          </w:p>
          <w:p>
            <w:pPr>
              <w:spacing w:after="20"/>
              <w:ind w:left="20"/>
              <w:jc w:val="both"/>
            </w:pPr>
            <w:r>
              <w:rPr>
                <w:rFonts w:ascii="Times New Roman"/>
                <w:b w:val="false"/>
                <w:i w:val="false"/>
                <w:color w:val="000000"/>
                <w:sz w:val="20"/>
              </w:rPr>
              <w:t>
3) отсутствие и нарушение бинокулярного зрения;</w:t>
            </w:r>
          </w:p>
          <w:p>
            <w:pPr>
              <w:spacing w:after="20"/>
              <w:ind w:left="20"/>
              <w:jc w:val="both"/>
            </w:pPr>
            <w:r>
              <w:rPr>
                <w:rFonts w:ascii="Times New Roman"/>
                <w:b w:val="false"/>
                <w:i w:val="false"/>
                <w:color w:val="000000"/>
                <w:sz w:val="20"/>
              </w:rPr>
              <w:t>
4) контактная коррекция в зависимости от условий труда;</w:t>
            </w:r>
          </w:p>
          <w:p>
            <w:pPr>
              <w:spacing w:after="20"/>
              <w:ind w:left="20"/>
              <w:jc w:val="both"/>
            </w:pPr>
            <w:r>
              <w:rPr>
                <w:rFonts w:ascii="Times New Roman"/>
                <w:b w:val="false"/>
                <w:i w:val="false"/>
                <w:color w:val="000000"/>
                <w:sz w:val="20"/>
              </w:rPr>
              <w:t>
5) анофтальм, аномалии развития органа зрения с нарушениями функции, затрудняющими выполнение обязанностей по профессии;</w:t>
            </w:r>
          </w:p>
          <w:p>
            <w:pPr>
              <w:spacing w:after="20"/>
              <w:ind w:left="20"/>
              <w:jc w:val="both"/>
            </w:pPr>
            <w:r>
              <w:rPr>
                <w:rFonts w:ascii="Times New Roman"/>
                <w:b w:val="false"/>
                <w:i w:val="false"/>
                <w:color w:val="000000"/>
                <w:sz w:val="20"/>
              </w:rPr>
              <w:t>
6) доброкачественные и злокачественные заболевания органа зрения, с нарушениями зрительных функций, затрудняющими выполнение обязанностей по профессии;</w:t>
            </w:r>
          </w:p>
          <w:p>
            <w:pPr>
              <w:spacing w:after="20"/>
              <w:ind w:left="20"/>
              <w:jc w:val="both"/>
            </w:pPr>
            <w:r>
              <w:rPr>
                <w:rFonts w:ascii="Times New Roman"/>
                <w:b w:val="false"/>
                <w:i w:val="false"/>
                <w:color w:val="000000"/>
                <w:sz w:val="20"/>
              </w:rPr>
              <w:t>
7) хронические болезни слезного аппарата, конъюнктивы, склеры, роговицы, радужной оболочки и цилиарного тела с нарушением зрительных функций или упорным слезотечением;</w:t>
            </w:r>
          </w:p>
          <w:p>
            <w:pPr>
              <w:spacing w:after="20"/>
              <w:ind w:left="20"/>
              <w:jc w:val="both"/>
            </w:pPr>
            <w:r>
              <w:rPr>
                <w:rFonts w:ascii="Times New Roman"/>
                <w:b w:val="false"/>
                <w:i w:val="false"/>
                <w:color w:val="000000"/>
                <w:sz w:val="20"/>
              </w:rPr>
              <w:t>
8) катаракта, афакия, двусторонняя артифакия, с нарушениями зрительных функций, затрудняющими выполнение обязанностей по профессии;</w:t>
            </w:r>
          </w:p>
          <w:p>
            <w:pPr>
              <w:spacing w:after="20"/>
              <w:ind w:left="20"/>
              <w:jc w:val="both"/>
            </w:pPr>
            <w:r>
              <w:rPr>
                <w:rFonts w:ascii="Times New Roman"/>
                <w:b w:val="false"/>
                <w:i w:val="false"/>
                <w:color w:val="000000"/>
                <w:sz w:val="20"/>
              </w:rPr>
              <w:t>
9) болезни сосудистой оболочки, сетчатки, стекловидного тела, зрительного нерва с нарушением зрительных функций;</w:t>
            </w:r>
          </w:p>
          <w:p>
            <w:pPr>
              <w:spacing w:after="20"/>
              <w:ind w:left="20"/>
              <w:jc w:val="both"/>
            </w:pPr>
            <w:r>
              <w:rPr>
                <w:rFonts w:ascii="Times New Roman"/>
                <w:b w:val="false"/>
                <w:i w:val="false"/>
                <w:color w:val="000000"/>
                <w:sz w:val="20"/>
              </w:rPr>
              <w:t>
10) сужение поля зрения в любом меридиане до 20 градусов от точки фиксации;</w:t>
            </w:r>
          </w:p>
          <w:p>
            <w:pPr>
              <w:spacing w:after="20"/>
              <w:ind w:left="20"/>
              <w:jc w:val="both"/>
            </w:pPr>
            <w:r>
              <w:rPr>
                <w:rFonts w:ascii="Times New Roman"/>
                <w:b w:val="false"/>
                <w:i w:val="false"/>
                <w:color w:val="000000"/>
                <w:sz w:val="20"/>
              </w:rPr>
              <w:t>
11) ночная слепота, снижение сумеречного зрения и устойчивости глаз к ослеплению, вопрос допуска к такой работе решается индивидуально в зависимости от условий труда;</w:t>
            </w:r>
          </w:p>
          <w:p>
            <w:pPr>
              <w:spacing w:after="20"/>
              <w:ind w:left="20"/>
              <w:jc w:val="both"/>
            </w:pPr>
            <w:r>
              <w:rPr>
                <w:rFonts w:ascii="Times New Roman"/>
                <w:b w:val="false"/>
                <w:i w:val="false"/>
                <w:color w:val="000000"/>
                <w:sz w:val="20"/>
              </w:rPr>
              <w:t>
12) врожденные аномалии цветового зрения (ахроматопсия, протанопия, дейтеранопия, протаномалия, дейтераномалия) типа "А", "В", "С".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Гинекологические заболевания:</w:t>
            </w:r>
          </w:p>
          <w:p>
            <w:pPr>
              <w:spacing w:after="20"/>
              <w:ind w:left="20"/>
              <w:jc w:val="both"/>
            </w:pPr>
            <w:r>
              <w:rPr>
                <w:rFonts w:ascii="Times New Roman"/>
                <w:b w:val="false"/>
                <w:i w:val="false"/>
                <w:color w:val="000000"/>
                <w:sz w:val="20"/>
              </w:rPr>
              <w:t>
1) беременность и период лактации;</w:t>
            </w:r>
          </w:p>
          <w:p>
            <w:pPr>
              <w:spacing w:after="20"/>
              <w:ind w:left="20"/>
              <w:jc w:val="both"/>
            </w:pPr>
            <w:r>
              <w:rPr>
                <w:rFonts w:ascii="Times New Roman"/>
                <w:b w:val="false"/>
                <w:i w:val="false"/>
                <w:color w:val="000000"/>
                <w:sz w:val="20"/>
              </w:rPr>
              <w:t>
2) привычное невынашивание и аномалии плода в анамнезе у женщин детородного возраста;</w:t>
            </w:r>
          </w:p>
          <w:p>
            <w:pPr>
              <w:spacing w:after="20"/>
              <w:ind w:left="20"/>
              <w:jc w:val="both"/>
            </w:pPr>
            <w:r>
              <w:rPr>
                <w:rFonts w:ascii="Times New Roman"/>
                <w:b w:val="false"/>
                <w:i w:val="false"/>
                <w:color w:val="000000"/>
                <w:sz w:val="20"/>
              </w:rPr>
              <w:t>
3) доброкачественные образования женских половых органов с нарушениями функции тазовых органов;</w:t>
            </w:r>
          </w:p>
          <w:p>
            <w:pPr>
              <w:spacing w:after="20"/>
              <w:ind w:left="20"/>
              <w:jc w:val="both"/>
            </w:pPr>
            <w:r>
              <w:rPr>
                <w:rFonts w:ascii="Times New Roman"/>
                <w:b w:val="false"/>
                <w:i w:val="false"/>
                <w:color w:val="000000"/>
                <w:sz w:val="20"/>
              </w:rPr>
              <w:t>
4) заболевания женских половых органов с мено- метроррагией, выраженным болевым синдромом;</w:t>
            </w:r>
          </w:p>
          <w:p>
            <w:pPr>
              <w:spacing w:after="20"/>
              <w:ind w:left="20"/>
              <w:jc w:val="both"/>
            </w:pPr>
            <w:r>
              <w:rPr>
                <w:rFonts w:ascii="Times New Roman"/>
                <w:b w:val="false"/>
                <w:i w:val="false"/>
                <w:color w:val="000000"/>
                <w:sz w:val="20"/>
              </w:rPr>
              <w:t>
5) дисфункция яичников с мено- метроррагиями;</w:t>
            </w:r>
          </w:p>
          <w:p>
            <w:pPr>
              <w:spacing w:after="20"/>
              <w:ind w:left="20"/>
              <w:jc w:val="both"/>
            </w:pPr>
            <w:r>
              <w:rPr>
                <w:rFonts w:ascii="Times New Roman"/>
                <w:b w:val="false"/>
                <w:i w:val="false"/>
                <w:color w:val="000000"/>
                <w:sz w:val="20"/>
              </w:rPr>
              <w:t>
6) хронические воспалительные болезни женских тазовых органов с тубоовариальным образованием или гидросальпингсом;</w:t>
            </w:r>
          </w:p>
          <w:p>
            <w:pPr>
              <w:spacing w:after="20"/>
              <w:ind w:left="20"/>
              <w:jc w:val="both"/>
            </w:pPr>
            <w:r>
              <w:rPr>
                <w:rFonts w:ascii="Times New Roman"/>
                <w:b w:val="false"/>
                <w:i w:val="false"/>
                <w:color w:val="000000"/>
                <w:sz w:val="20"/>
              </w:rPr>
              <w:t>
7) дисплазия, резко выраженная любой локализации;</w:t>
            </w:r>
          </w:p>
          <w:p>
            <w:pPr>
              <w:spacing w:after="20"/>
              <w:ind w:left="20"/>
              <w:jc w:val="both"/>
            </w:pPr>
            <w:r>
              <w:rPr>
                <w:rFonts w:ascii="Times New Roman"/>
                <w:b w:val="false"/>
                <w:i w:val="false"/>
                <w:color w:val="000000"/>
                <w:sz w:val="20"/>
              </w:rPr>
              <w:t>
8) выпадение женских половых органов любой степени с нарушением функции тазовых органов или декубитальной (трофической) язвой, сопровождающейся анемизирующими кровотечениями;</w:t>
            </w:r>
          </w:p>
          <w:p>
            <w:pPr>
              <w:spacing w:after="20"/>
              <w:ind w:left="20"/>
              <w:jc w:val="both"/>
            </w:pPr>
            <w:r>
              <w:rPr>
                <w:rFonts w:ascii="Times New Roman"/>
                <w:b w:val="false"/>
                <w:i w:val="false"/>
                <w:color w:val="000000"/>
                <w:sz w:val="20"/>
              </w:rPr>
              <w:t>
9) новообразования женских половых органов. Допускаются в зависимости от стадии заболевания и проведенного коррегирующего лечения;</w:t>
            </w:r>
          </w:p>
          <w:p>
            <w:pPr>
              <w:spacing w:after="20"/>
              <w:ind w:left="20"/>
              <w:jc w:val="both"/>
            </w:pPr>
            <w:r>
              <w:rPr>
                <w:rFonts w:ascii="Times New Roman"/>
                <w:b w:val="false"/>
                <w:i w:val="false"/>
                <w:color w:val="000000"/>
                <w:sz w:val="20"/>
              </w:rPr>
              <w:t>
10) мочеполовые и ректовагинальные свищи.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уха, горла, носа:</w:t>
            </w:r>
          </w:p>
          <w:p>
            <w:pPr>
              <w:spacing w:after="20"/>
              <w:ind w:left="20"/>
              <w:jc w:val="both"/>
            </w:pPr>
            <w:r>
              <w:rPr>
                <w:rFonts w:ascii="Times New Roman"/>
                <w:b w:val="false"/>
                <w:i w:val="false"/>
                <w:color w:val="000000"/>
                <w:sz w:val="20"/>
              </w:rPr>
              <w:t>
1) нейросенсорная тугоухость ІІ и IV степени, глухота при слухопротезировании с коррекцией шепотной речи 3 и более метров на оба уха допускаются к работе в зависимости от условий труда;</w:t>
            </w:r>
          </w:p>
          <w:p>
            <w:pPr>
              <w:spacing w:after="20"/>
              <w:ind w:left="20"/>
              <w:jc w:val="both"/>
            </w:pPr>
            <w:r>
              <w:rPr>
                <w:rFonts w:ascii="Times New Roman"/>
                <w:b w:val="false"/>
                <w:i w:val="false"/>
                <w:color w:val="000000"/>
                <w:sz w:val="20"/>
              </w:rPr>
              <w:t>
 при слухопротезировании с коррекцией шепотной речи 3 и более метров на оба уха допускаются к работе в зависимости от условий труда;</w:t>
            </w:r>
          </w:p>
          <w:p>
            <w:pPr>
              <w:spacing w:after="20"/>
              <w:ind w:left="20"/>
              <w:jc w:val="both"/>
            </w:pPr>
            <w:r>
              <w:rPr>
                <w:rFonts w:ascii="Times New Roman"/>
                <w:b w:val="false"/>
                <w:i w:val="false"/>
                <w:color w:val="000000"/>
                <w:sz w:val="20"/>
              </w:rPr>
              <w:t>
2) стойкая полная глухота на оба уха или глухонемота;</w:t>
            </w:r>
          </w:p>
          <w:p>
            <w:pPr>
              <w:spacing w:after="20"/>
              <w:ind w:left="20"/>
              <w:jc w:val="both"/>
            </w:pPr>
            <w:r>
              <w:rPr>
                <w:rFonts w:ascii="Times New Roman"/>
                <w:b w:val="false"/>
                <w:i w:val="false"/>
                <w:color w:val="000000"/>
                <w:sz w:val="20"/>
              </w:rPr>
              <w:t>
3) отосклероз;</w:t>
            </w:r>
          </w:p>
          <w:p>
            <w:pPr>
              <w:spacing w:after="20"/>
              <w:ind w:left="20"/>
              <w:jc w:val="both"/>
            </w:pPr>
            <w:r>
              <w:rPr>
                <w:rFonts w:ascii="Times New Roman"/>
                <w:b w:val="false"/>
                <w:i w:val="false"/>
                <w:color w:val="000000"/>
                <w:sz w:val="20"/>
              </w:rPr>
              <w:t>
4) Болезнь Меньера и другие болезни внутреннего уха с нарушением вестибулярной функций;</w:t>
            </w:r>
          </w:p>
          <w:p>
            <w:pPr>
              <w:spacing w:after="20"/>
              <w:ind w:left="20"/>
              <w:jc w:val="both"/>
            </w:pPr>
            <w:r>
              <w:rPr>
                <w:rFonts w:ascii="Times New Roman"/>
                <w:b w:val="false"/>
                <w:i w:val="false"/>
                <w:color w:val="000000"/>
                <w:sz w:val="20"/>
              </w:rPr>
              <w:t>
5) хронические синуситы (полипозные - обтурирующие полипы с нарушением носового дыхания);</w:t>
            </w:r>
          </w:p>
          <w:p>
            <w:pPr>
              <w:spacing w:after="20"/>
              <w:ind w:left="20"/>
              <w:jc w:val="both"/>
            </w:pPr>
            <w:r>
              <w:rPr>
                <w:rFonts w:ascii="Times New Roman"/>
                <w:b w:val="false"/>
                <w:i w:val="false"/>
                <w:color w:val="000000"/>
                <w:sz w:val="20"/>
              </w:rPr>
              <w:t>
6) аносмия в зависимости от условий труда;</w:t>
            </w:r>
          </w:p>
          <w:p>
            <w:pPr>
              <w:spacing w:after="20"/>
              <w:ind w:left="20"/>
              <w:jc w:val="both"/>
            </w:pPr>
            <w:r>
              <w:rPr>
                <w:rFonts w:ascii="Times New Roman"/>
                <w:b w:val="false"/>
                <w:i w:val="false"/>
                <w:color w:val="000000"/>
                <w:sz w:val="20"/>
              </w:rPr>
              <w:t>
7) искривление новой перегородки с нарушением носового дыхания;</w:t>
            </w:r>
          </w:p>
          <w:p>
            <w:pPr>
              <w:spacing w:after="20"/>
              <w:ind w:left="20"/>
              <w:jc w:val="both"/>
            </w:pPr>
            <w:r>
              <w:rPr>
                <w:rFonts w:ascii="Times New Roman"/>
                <w:b w:val="false"/>
                <w:i w:val="false"/>
                <w:color w:val="000000"/>
                <w:sz w:val="20"/>
              </w:rPr>
              <w:t>
8) доброкачественные новообразования верхних дыхательных путей с нарушением функции носового и внешнего дыхания;</w:t>
            </w:r>
          </w:p>
          <w:p>
            <w:pPr>
              <w:spacing w:after="20"/>
              <w:ind w:left="20"/>
              <w:jc w:val="both"/>
            </w:pPr>
            <w:r>
              <w:rPr>
                <w:rFonts w:ascii="Times New Roman"/>
                <w:b w:val="false"/>
                <w:i w:val="false"/>
                <w:color w:val="000000"/>
                <w:sz w:val="20"/>
              </w:rPr>
              <w:t>
9) состояние после слухоулучшающих операций. Вопрос допуска к работе решается в зависимости от условий труда;</w:t>
            </w:r>
          </w:p>
          <w:p>
            <w:pPr>
              <w:spacing w:after="20"/>
              <w:ind w:left="20"/>
              <w:jc w:val="both"/>
            </w:pPr>
            <w:r>
              <w:rPr>
                <w:rFonts w:ascii="Times New Roman"/>
                <w:b w:val="false"/>
                <w:i w:val="false"/>
                <w:color w:val="000000"/>
                <w:sz w:val="20"/>
              </w:rPr>
              <w:t>
10) лабиринтит, лабиринтная фистула;</w:t>
            </w:r>
          </w:p>
          <w:p>
            <w:pPr>
              <w:spacing w:after="20"/>
              <w:ind w:left="20"/>
              <w:jc w:val="both"/>
            </w:pPr>
            <w:r>
              <w:rPr>
                <w:rFonts w:ascii="Times New Roman"/>
                <w:b w:val="false"/>
                <w:i w:val="false"/>
                <w:color w:val="000000"/>
                <w:sz w:val="20"/>
              </w:rPr>
              <w:t>
11) склерома, гранулематоз Вегенера (некротизирующий респираторный гранулематоз), рубцовые стенозы гортани;</w:t>
            </w:r>
          </w:p>
          <w:p>
            <w:pPr>
              <w:spacing w:after="20"/>
              <w:ind w:left="20"/>
              <w:jc w:val="both"/>
            </w:pPr>
            <w:r>
              <w:rPr>
                <w:rFonts w:ascii="Times New Roman"/>
                <w:b w:val="false"/>
                <w:i w:val="false"/>
                <w:color w:val="000000"/>
                <w:sz w:val="20"/>
              </w:rPr>
              <w:t>
12) хронические болезни среднего уха с нарушением слуховой функции и частыми рецедивами.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Инфекционные заболевания:</w:t>
            </w:r>
          </w:p>
          <w:p>
            <w:pPr>
              <w:spacing w:after="20"/>
              <w:ind w:left="20"/>
              <w:jc w:val="both"/>
            </w:pPr>
            <w:r>
              <w:rPr>
                <w:rFonts w:ascii="Times New Roman"/>
                <w:b w:val="false"/>
                <w:i w:val="false"/>
                <w:color w:val="000000"/>
                <w:sz w:val="20"/>
              </w:rPr>
              <w:t>
1) хронические инфекционные и паразитарные болезни (в том числе болезнь, вызванная иммунодефицитом человека, бруцеллез, глубокие микозы, токсоплазмоз), сопровождающиеся нарушениями функций органов и систем;</w:t>
            </w:r>
          </w:p>
          <w:p>
            <w:pPr>
              <w:spacing w:after="20"/>
              <w:ind w:left="20"/>
              <w:jc w:val="both"/>
            </w:pPr>
            <w:r>
              <w:rPr>
                <w:rFonts w:ascii="Times New Roman"/>
                <w:b w:val="false"/>
                <w:i w:val="false"/>
                <w:color w:val="000000"/>
                <w:sz w:val="20"/>
              </w:rPr>
              <w:t>
2) активный туберкулез любой локализации. Последствия перенесенного туберкулеза (в том числе послеоперационные), сопровождающиеся функциональными нарушениями пораженных органов;</w:t>
            </w:r>
          </w:p>
          <w:p>
            <w:pPr>
              <w:spacing w:after="20"/>
              <w:ind w:left="20"/>
              <w:jc w:val="both"/>
            </w:pPr>
            <w:r>
              <w:rPr>
                <w:rFonts w:ascii="Times New Roman"/>
                <w:b w:val="false"/>
                <w:i w:val="false"/>
                <w:color w:val="000000"/>
                <w:sz w:val="20"/>
              </w:rPr>
              <w:t>
3) большие остаточные изменения после перенесенного туберкулеза легких при работах, связанных с воздействием промышленных аэрозолей.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противопоказания к допуску на работу, связанную с движением поездов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расстройства поведения и болезни нервной системы:</w:t>
            </w:r>
          </w:p>
          <w:p>
            <w:pPr>
              <w:spacing w:after="20"/>
              <w:ind w:left="20"/>
              <w:jc w:val="both"/>
            </w:pPr>
            <w:r>
              <w:rPr>
                <w:rFonts w:ascii="Times New Roman"/>
                <w:b w:val="false"/>
                <w:i w:val="false"/>
                <w:color w:val="000000"/>
                <w:sz w:val="20"/>
              </w:rPr>
              <w:t>
1) преходящие невротические расстройства, депрессивный эпизод, острая реакция на стресс. Работающие в группах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железнодорожных вагонов, кондукторов, руководителей производственно эксплуатационных подразделений, техников - механиков допускаются к работе после эффективного лечения. После однократного истерического расстройства личности с демонстративной суицидальной попытки через 6 месяцев проводится внеочередной обязательный медицинский осмотр. Работники всех групп, кроме группы машинистов, водителей и их помощников допускаются к работе после эффективного лечения и выздоровления;</w:t>
            </w:r>
          </w:p>
          <w:p>
            <w:pPr>
              <w:spacing w:after="20"/>
              <w:ind w:left="20"/>
              <w:jc w:val="both"/>
            </w:pPr>
            <w:r>
              <w:rPr>
                <w:rFonts w:ascii="Times New Roman"/>
                <w:b w:val="false"/>
                <w:i w:val="false"/>
                <w:color w:val="000000"/>
                <w:sz w:val="20"/>
              </w:rPr>
              <w:t>
2) умеренно выраженные расстройства вегетативной нервной системы без пароксизмальных и кардиальных нарушений, мигрень без нарушений зрения. Легкие вегетативные нарушения не являются противопоказаниями к работам, связанным с движением поездов, кроме поступающих в профессии машинистов, водителей, их помощников и работников, занятых на поездной работе без помощника машиниста. К работе допускаются начальники из группы рабочих по обслуживанию и ремонту путевых машин и механизмов железнодорожного транспорта;</w:t>
            </w:r>
          </w:p>
          <w:p>
            <w:pPr>
              <w:spacing w:after="20"/>
              <w:ind w:left="20"/>
              <w:jc w:val="both"/>
            </w:pPr>
            <w:r>
              <w:rPr>
                <w:rFonts w:ascii="Times New Roman"/>
                <w:b w:val="false"/>
                <w:i w:val="false"/>
                <w:color w:val="000000"/>
                <w:sz w:val="20"/>
              </w:rPr>
              <w:t>
3) хронические болезни периферической нервной системы с нечастыми обострениями и нерезкими нарушениями чувствительных и двигательных функций. Легкие радикулярные синдромы без частых обострений являются противопоказаниями для работников, поступающих в группах водителей и машинистов подвижного оборудования,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 - дорожных вагонов, кондукторов, руководителей производственно- эксплуатационных подразделений, техников - механиков, рабочих по обслуживанию и ремонту линейных сооружений и станционного оборудования связи, руководителей специализированных подразделений. К работе допускаются поступающие на должности начальников и инженеров. Легкие парезы нервов верхних и нижних конечностей с нарушениями функций кисти, стопы или конечностей являются противопоказаниями для работающих в локомотивных бригадах, работающих на работах, связанных с длительным пребыванием на ногах, а также занятых в профессиях при нарушениях профессионально значимых функций. Работающие в группах диспетчеров, служащих, занятых учетом на транспорте, тормозных рабочих, стрелочников, сцепщиков, рабочих по обслуживанию и ремонту путевых машин и механизмов железнодорожного транспорта допускаются к работе после эффективного лечения;</w:t>
            </w:r>
          </w:p>
          <w:p>
            <w:pPr>
              <w:spacing w:after="20"/>
              <w:ind w:left="20"/>
              <w:jc w:val="both"/>
            </w:pPr>
            <w:r>
              <w:rPr>
                <w:rFonts w:ascii="Times New Roman"/>
                <w:b w:val="false"/>
                <w:i w:val="false"/>
                <w:color w:val="000000"/>
                <w:sz w:val="20"/>
              </w:rPr>
              <w:t>
4) органические изменения (последствия травм, нейроинфекций и отравлений) и медленно прогрессирующие болезни центральной нервной системы с незначительными неврологическими нарушениями противопоказаны для группы водителей и машинистов подвижного оборудования, диспетчеров, служащих, занятых учетом на транспорте. Подход к экспертизе профессиональной пригодности остальных работников индивидуальный;</w:t>
            </w:r>
          </w:p>
          <w:p>
            <w:pPr>
              <w:spacing w:after="20"/>
              <w:ind w:left="20"/>
              <w:jc w:val="both"/>
            </w:pPr>
            <w:r>
              <w:rPr>
                <w:rFonts w:ascii="Times New Roman"/>
                <w:b w:val="false"/>
                <w:i w:val="false"/>
                <w:color w:val="000000"/>
                <w:sz w:val="20"/>
              </w:rPr>
              <w:t>
5) идиопатическая ротолицевая дистония, спастическая кривошея, блефароспазм, тики органического происхождения, экстрапирамидные и двигательные нарушения, мешающие выполнению работы противопоказаны для группы водителей и машинистов подвижного оборудования и их помощников;</w:t>
            </w:r>
          </w:p>
          <w:p>
            <w:pPr>
              <w:spacing w:after="20"/>
              <w:ind w:left="20"/>
              <w:jc w:val="both"/>
            </w:pPr>
            <w:r>
              <w:rPr>
                <w:rFonts w:ascii="Times New Roman"/>
                <w:b w:val="false"/>
                <w:i w:val="false"/>
                <w:color w:val="000000"/>
                <w:sz w:val="20"/>
              </w:rPr>
              <w:t>
6) состояния после острых инфекционных, интоксикационных и других подобных психозов, кратковременные легкие преходящие психические расстройства при соматических заболеваниях. Работники допускаются к работе в индивидуальном порядке при условии врачебного наблюдения в течение не менее одного года, выздоровления от соматического заболевания и полного восстановления психических функций;</w:t>
            </w:r>
          </w:p>
          <w:p>
            <w:pPr>
              <w:spacing w:after="20"/>
              <w:ind w:left="20"/>
              <w:jc w:val="both"/>
            </w:pPr>
            <w:r>
              <w:rPr>
                <w:rFonts w:ascii="Times New Roman"/>
                <w:b w:val="false"/>
                <w:i w:val="false"/>
                <w:color w:val="000000"/>
                <w:sz w:val="20"/>
              </w:rPr>
              <w:t>
7) состояние после эффективного хирургического лечения дискогенных радикулитов противопоказаны для водителей и машинистов подвижного оборудования, диспетчеров, служащих, занятых учетом на транспорте, тормозных рабочих, стрелочников, сцепщиков. Допускаются к работе через 6 месяцев после эффективного оперативного лечения.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Соматические заболевания:</w:t>
            </w:r>
          </w:p>
          <w:p>
            <w:pPr>
              <w:spacing w:after="20"/>
              <w:ind w:left="20"/>
              <w:jc w:val="both"/>
            </w:pPr>
            <w:r>
              <w:rPr>
                <w:rFonts w:ascii="Times New Roman"/>
                <w:b w:val="false"/>
                <w:i w:val="false"/>
                <w:color w:val="000000"/>
                <w:sz w:val="20"/>
              </w:rPr>
              <w:t>
1) нарушения сердечного ритма и проводимости низких градаций (экстрасистолия, атриовентрикулярная блокада I степени, WPW (ВПУ) - синдром Вольфа-Паркинсона-Уайта без пароксизмов и нерезкие нарушения с сердечной недостаточностью 0-I степени. Работающие всех групп допускаются к работе после эффективного лечения. Умеренная тахи- или брадикардия, редкая монотопная поздняя экстрасистолия, неполная блокада правой ножки пучка Гиса, являются противопоказаниями поступающим в группу профессии водителей и машинистов подвижного оборудования, работников группы машинистов, водителей занятых на поездной работе без помощника машиниста;</w:t>
            </w:r>
          </w:p>
          <w:p>
            <w:pPr>
              <w:spacing w:after="20"/>
              <w:ind w:left="20"/>
              <w:jc w:val="both"/>
            </w:pPr>
            <w:r>
              <w:rPr>
                <w:rFonts w:ascii="Times New Roman"/>
                <w:b w:val="false"/>
                <w:i w:val="false"/>
                <w:color w:val="000000"/>
                <w:sz w:val="20"/>
              </w:rPr>
              <w:t>
2) хроническая ишемическая болезнь сердца без перенесенного инфаркта миокарда и выраженной аритмии, со стенокардией 1 функционального класса, сердечной недостаточностью 0-I степени. Работающие всех групп без изменений на электрокардиограмме допускаются к работе по решению врачебной консультативной комиссии с привлечением врача кардиолога;</w:t>
            </w:r>
          </w:p>
          <w:p>
            <w:pPr>
              <w:spacing w:after="20"/>
              <w:ind w:left="20"/>
              <w:jc w:val="both"/>
            </w:pPr>
            <w:r>
              <w:rPr>
                <w:rFonts w:ascii="Times New Roman"/>
                <w:b w:val="false"/>
                <w:i w:val="false"/>
                <w:color w:val="000000"/>
                <w:sz w:val="20"/>
              </w:rPr>
              <w:t>
3) хронические болезни эндокарда, миокарда и перикарда с нарушением ритма и проводимости низких градаций. Пролапс митрального клапана без выраженной регургитацией, увеличение размеров сердца, сердечная недостаточность, нарушение ритма являются противопоказаниями для поступающих на работу и работающих группы водителей и машинистов подвижного оборудования;</w:t>
            </w:r>
          </w:p>
          <w:p>
            <w:pPr>
              <w:spacing w:after="20"/>
              <w:ind w:left="20"/>
              <w:jc w:val="both"/>
            </w:pPr>
            <w:r>
              <w:rPr>
                <w:rFonts w:ascii="Times New Roman"/>
                <w:b w:val="false"/>
                <w:i w:val="false"/>
                <w:color w:val="000000"/>
                <w:sz w:val="20"/>
              </w:rPr>
              <w:t>
4) функциональные нестойкие, нерезко-выраженные нарушения сердечной деятельности при болезнях вегетативной нервной системы и эндокринных органов противопоказаны для поступающих на работу в группы диспетчеров, служащих, занятых учетом на транспорте, тормозных рабочих, стрелочников, сцепщиков, рабочих по обслуживанию и ремонту путевых машин и механизмов железнодорожного транспорта. Остальные группы поступающих на работу и работающие допускаются после эффективного лечения;</w:t>
            </w:r>
          </w:p>
          <w:p>
            <w:pPr>
              <w:spacing w:after="20"/>
              <w:ind w:left="20"/>
              <w:jc w:val="both"/>
            </w:pPr>
            <w:r>
              <w:rPr>
                <w:rFonts w:ascii="Times New Roman"/>
                <w:b w:val="false"/>
                <w:i w:val="false"/>
                <w:color w:val="000000"/>
                <w:sz w:val="20"/>
              </w:rPr>
              <w:t>
5) артериальная гипертензия II-III степени высокого, очень высокого риска осложнений со стороны сердечно-сосудистой системы, вне зависимости от медикаментозной коррекции артериального давления противопоказаны для работающих в группе водителей и машинистов подвижного оборудования, тормозные рабочие, стрелочники, сцепщики, рабочие по обслуживанию и ремонту путевых машин и механизмов железнодорожного транспорта (дежурный по переезду, стрелочного поста включая старшего), рабочие по обслуживанию и ремонту путевых машин и механизмов железнодорожного транспорта (бригадир, освобожденный по текущему содержанию и ремонту пути и искусственных сооружений, обходчик пути и искусственных сооружений, монтер пути, мастер дорожный включая старшего, мастер тоннельный);</w:t>
            </w:r>
          </w:p>
          <w:p>
            <w:pPr>
              <w:spacing w:after="20"/>
              <w:ind w:left="20"/>
              <w:jc w:val="both"/>
            </w:pPr>
            <w:r>
              <w:rPr>
                <w:rFonts w:ascii="Times New Roman"/>
                <w:b w:val="false"/>
                <w:i w:val="false"/>
                <w:color w:val="000000"/>
                <w:sz w:val="20"/>
              </w:rPr>
              <w:t>
6) состояние после коронарного шунтирования, ангиопластики/стентирования коронарных артерий, аневризмэктомии и аортопластики, протезирования клапанов сердца и сложных операций на сердце и сосудах противопоказаны для работников, связанных с движением поездов на железнодорожном транспорте. Состояния после митральной комиссуротомии, перевязки артериального протока и несложных кардиохирургических вмешательств, допускаются после эффективного лечения начальники и инженеры. Состояние после операции ушивания раны сердца, при отсутствии осложнений и функциональных нарушений, являются противопоказаниям для машинистов и помощников машинистов;</w:t>
            </w:r>
          </w:p>
          <w:p>
            <w:pPr>
              <w:spacing w:after="20"/>
              <w:ind w:left="20"/>
              <w:jc w:val="both"/>
            </w:pPr>
            <w:r>
              <w:rPr>
                <w:rFonts w:ascii="Times New Roman"/>
                <w:b w:val="false"/>
                <w:i w:val="false"/>
                <w:color w:val="000000"/>
                <w:sz w:val="20"/>
              </w:rPr>
              <w:t>
7) все формы хронической артериальной гипотензии с потерей сознания в анамнезе. Стойкая артериальная гипотензия в покое ниже 100 и 60 мм.рт.ст. при отсутствии головокружения и потери сознания, стойкая без нарушений сознания являются противопоказаниями для поступающих всех групп, для работников группы водителей и машинистов подвижного оборудования. Ортостатическая артериальная гипотензия без потери сознания в анамнезе, являются противопоказаниями для поступающих в группу профессий водителей и машинистов подвижного оборудования, работников группы машинистов, водителей занятых на поездной работе без помощника машиниста;</w:t>
            </w:r>
          </w:p>
          <w:p>
            <w:pPr>
              <w:spacing w:after="20"/>
              <w:ind w:left="20"/>
              <w:jc w:val="both"/>
            </w:pPr>
            <w:r>
              <w:rPr>
                <w:rFonts w:ascii="Times New Roman"/>
                <w:b w:val="false"/>
                <w:i w:val="false"/>
                <w:color w:val="000000"/>
                <w:sz w:val="20"/>
              </w:rPr>
              <w:t>
8) состояние после операций по поводу бронхоэктатической болезни противопоказаны для машинистов, занятых на поездной работе без помощника машиниста. Остальные работники допускаются после эффективного лечения. При саркоидозе органов допуск к работе зависит от выраженности нарушений профессионально значимых функций;</w:t>
            </w:r>
          </w:p>
          <w:p>
            <w:pPr>
              <w:spacing w:after="20"/>
              <w:ind w:left="20"/>
              <w:jc w:val="both"/>
            </w:pPr>
            <w:r>
              <w:rPr>
                <w:rFonts w:ascii="Times New Roman"/>
                <w:b w:val="false"/>
                <w:i w:val="false"/>
                <w:color w:val="000000"/>
                <w:sz w:val="20"/>
              </w:rPr>
              <w:t>
9) состояние после эффективного оперативного лечения болезней желудка противопоказаны для машинистов, занятых на поездной работе без помощника машиниста;</w:t>
            </w:r>
          </w:p>
          <w:p>
            <w:pPr>
              <w:spacing w:after="20"/>
              <w:ind w:left="20"/>
              <w:jc w:val="both"/>
            </w:pPr>
            <w:r>
              <w:rPr>
                <w:rFonts w:ascii="Times New Roman"/>
                <w:b w:val="false"/>
                <w:i w:val="false"/>
                <w:color w:val="000000"/>
                <w:sz w:val="20"/>
              </w:rPr>
              <w:t>
10) благоприятно протекающий лимфолейкоз (без анемии, геморрагического синдрома и большой массы опухоли) противопоказаны для работников группы машинистов;</w:t>
            </w:r>
          </w:p>
          <w:p>
            <w:pPr>
              <w:spacing w:after="20"/>
              <w:ind w:left="20"/>
              <w:jc w:val="both"/>
            </w:pPr>
            <w:r>
              <w:rPr>
                <w:rFonts w:ascii="Times New Roman"/>
                <w:b w:val="false"/>
                <w:i w:val="false"/>
                <w:color w:val="000000"/>
                <w:sz w:val="20"/>
              </w:rPr>
              <w:t>
11) аутоиммунные гемолитические анемии противопоказаны для машинистов, занятых на поездной работе без помощника машиниста. Остальные работники допускаются после эффективного лечения. При других полицитемиях, с эритроцитозом более 5,5 миллионов клеток, работники, кроме группы водителей и машинистов подвижного оборудования, допускаются с условием назначения индивидуальных сроков медицинского осмотра, но не реже, чем через 6 месяцев. При благоприятно протекающем лимфолейкозе (без анемии, геморрагического синдрома и большой массы опухоли) работники допускаются во все профессии, кроме группы водителей и машинистов подвижного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Хирургические болезни:</w:t>
            </w:r>
          </w:p>
          <w:p>
            <w:pPr>
              <w:spacing w:after="20"/>
              <w:ind w:left="20"/>
              <w:jc w:val="both"/>
            </w:pPr>
            <w:r>
              <w:rPr>
                <w:rFonts w:ascii="Times New Roman"/>
                <w:b w:val="false"/>
                <w:i w:val="false"/>
                <w:color w:val="000000"/>
                <w:sz w:val="20"/>
              </w:rPr>
              <w:t>
1) последствия перенесенного воспалительного процесса в костях и суставах (туберкулез, остеомиелит и остальные) явно непрепятствующие выполнению работы в профессии противопоказаны для поступающих на работу в группу водителей и машинистов подвижного оборудования;</w:t>
            </w:r>
          </w:p>
          <w:p>
            <w:pPr>
              <w:spacing w:after="20"/>
              <w:ind w:left="20"/>
              <w:jc w:val="both"/>
            </w:pPr>
            <w:r>
              <w:rPr>
                <w:rFonts w:ascii="Times New Roman"/>
                <w:b w:val="false"/>
                <w:i w:val="false"/>
                <w:color w:val="000000"/>
                <w:sz w:val="20"/>
              </w:rPr>
              <w:t>
2) деформирующие артрозы, дорсалгии и спондилопатии с нарушением функции суставов 0-I степени. Поступающие на работу и работающие в группе диспетчеров, служащие, занятые учетом допускаются к работе при сохранении необходимых для профессии функций. К работе допускаются поступающие на работу начальниками и работающие в группе рабочих по обслуживанию и ремонту путевых машин и механизмов железнодорожного транспорта;</w:t>
            </w:r>
          </w:p>
          <w:p>
            <w:pPr>
              <w:spacing w:after="20"/>
              <w:ind w:left="20"/>
              <w:jc w:val="both"/>
            </w:pPr>
            <w:r>
              <w:rPr>
                <w:rFonts w:ascii="Times New Roman"/>
                <w:b w:val="false"/>
                <w:i w:val="false"/>
                <w:color w:val="000000"/>
                <w:sz w:val="20"/>
              </w:rPr>
              <w:t>
3) отсутствие первого пальца, двух пальцев различного сочетания нескольких фаланг и деформации, частично нарушающие охватывающую или удерживающую функции кисти. При указанных деформациях учитывать наиболее функционирующую конечность (правая, левая) и степень нарушения функции. Для диспетчерской группы учитывать сохранение функции письма, черчения, работы за пультом.</w:t>
            </w:r>
          </w:p>
          <w:p>
            <w:pPr>
              <w:spacing w:after="20"/>
              <w:ind w:left="20"/>
              <w:jc w:val="both"/>
            </w:pPr>
            <w:r>
              <w:rPr>
                <w:rFonts w:ascii="Times New Roman"/>
                <w:b w:val="false"/>
                <w:i w:val="false"/>
                <w:color w:val="000000"/>
                <w:sz w:val="20"/>
              </w:rPr>
              <w:t>
Деформации, нарушающие функции стопы противопоказаны машинистам, помощникам машинистов, осмотрщикам вагонов, составителям поездов, помощникам составителей поездов, регулировщикам скорости движения вагонов, обходчикам пути и искусственных сооружений, монтерам пути;</w:t>
            </w:r>
          </w:p>
          <w:p>
            <w:pPr>
              <w:spacing w:after="20"/>
              <w:ind w:left="20"/>
              <w:jc w:val="both"/>
            </w:pPr>
            <w:r>
              <w:rPr>
                <w:rFonts w:ascii="Times New Roman"/>
                <w:b w:val="false"/>
                <w:i w:val="false"/>
                <w:color w:val="000000"/>
                <w:sz w:val="20"/>
              </w:rPr>
              <w:t>
4) варикозное расширение вен нижних конечностей без выраженной хронической венозной недостаточности противопоказаны для поступающих на работу и работающим в группе водителей и машинистов подвижного оборудования;</w:t>
            </w:r>
          </w:p>
          <w:p>
            <w:pPr>
              <w:spacing w:after="20"/>
              <w:ind w:left="20"/>
              <w:jc w:val="both"/>
            </w:pPr>
            <w:r>
              <w:rPr>
                <w:rFonts w:ascii="Times New Roman"/>
                <w:b w:val="false"/>
                <w:i w:val="false"/>
                <w:color w:val="000000"/>
                <w:sz w:val="20"/>
              </w:rPr>
              <w:t>
5) желчнокаменная и мочекаменная болезни без осложнений ("немые" камни желчного пузыря и почечных лоханок) без выраженного воспаления и угрозы колики противопоказаны для поступающих на работу во всех группах и работающим в группе водителей и машинистов подвижного оборудования. Работающие остальных групп допускаются после эффективного оперативного лечения или самопроизвольного отхождения мочевых (желчных) камней;</w:t>
            </w:r>
          </w:p>
          <w:p>
            <w:pPr>
              <w:spacing w:after="20"/>
              <w:ind w:left="20"/>
              <w:jc w:val="both"/>
            </w:pPr>
            <w:r>
              <w:rPr>
                <w:rFonts w:ascii="Times New Roman"/>
                <w:b w:val="false"/>
                <w:i w:val="false"/>
                <w:color w:val="000000"/>
                <w:sz w:val="20"/>
              </w:rPr>
              <w:t>
6) болезнь (синдром) Рейно противопоказана для поступающих на работу в группы водителей и машинистов подвижного оборудования и машинистов, занятых на поездной работе без помощника машиниста. В остальных случаях при невыраженном синдроме Рейно допускается прием на работу при отсутствии нарушений профессионально значимых функций;</w:t>
            </w:r>
          </w:p>
          <w:p>
            <w:pPr>
              <w:spacing w:after="20"/>
              <w:ind w:left="20"/>
              <w:jc w:val="both"/>
            </w:pPr>
            <w:r>
              <w:rPr>
                <w:rFonts w:ascii="Times New Roman"/>
                <w:b w:val="false"/>
                <w:i w:val="false"/>
                <w:color w:val="000000"/>
                <w:sz w:val="20"/>
              </w:rPr>
              <w:t>
7) злокачественные новообразования различных органов при радикальном и эффективном, лечения опухоли, сохранение профессионально значимых функций допуск к работе решатся индивидуально, кроме поступающих на работу и работающим в группе водителей и машинистов подвижного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Глазные болезни:</w:t>
            </w:r>
          </w:p>
          <w:p>
            <w:pPr>
              <w:spacing w:after="20"/>
              <w:ind w:left="20"/>
              <w:jc w:val="both"/>
            </w:pPr>
            <w:r>
              <w:rPr>
                <w:rFonts w:ascii="Times New Roman"/>
                <w:b w:val="false"/>
                <w:i w:val="false"/>
                <w:color w:val="000000"/>
                <w:sz w:val="20"/>
              </w:rPr>
              <w:t xml:space="preserve">
1) допустимая острота зрения. К работе допускаются поступающие на работу в группы: </w:t>
            </w:r>
          </w:p>
          <w:p>
            <w:pPr>
              <w:spacing w:after="20"/>
              <w:ind w:left="20"/>
              <w:jc w:val="both"/>
            </w:pPr>
            <w:r>
              <w:rPr>
                <w:rFonts w:ascii="Times New Roman"/>
                <w:b w:val="false"/>
                <w:i w:val="false"/>
                <w:color w:val="000000"/>
                <w:sz w:val="20"/>
              </w:rPr>
              <w:t>
водителей и машинистов подвижного оборудования с остротой зрения 1,0 на каждом глазу;</w:t>
            </w:r>
          </w:p>
          <w:p>
            <w:pPr>
              <w:spacing w:after="20"/>
              <w:ind w:left="20"/>
              <w:jc w:val="both"/>
            </w:pPr>
            <w:r>
              <w:rPr>
                <w:rFonts w:ascii="Times New Roman"/>
                <w:b w:val="false"/>
                <w:i w:val="false"/>
                <w:color w:val="000000"/>
                <w:sz w:val="20"/>
              </w:rPr>
              <w:t>
диспетчеров, служащих, занятых учетом на транспорте с остротой зрения 0,6 на лучшем 0,4 на худшем глазу;</w:t>
            </w:r>
          </w:p>
          <w:p>
            <w:pPr>
              <w:spacing w:after="20"/>
              <w:ind w:left="20"/>
              <w:jc w:val="both"/>
            </w:pPr>
            <w:r>
              <w:rPr>
                <w:rFonts w:ascii="Times New Roman"/>
                <w:b w:val="false"/>
                <w:i w:val="false"/>
                <w:color w:val="000000"/>
                <w:sz w:val="20"/>
              </w:rPr>
              <w:t>
тормозных рабочих, стрелочников, сцепщиков, рабочих по обслуживанию и ремонту путевых машин и механизмов железнодорожного транспорта с остротой зрения 0,8 на лучшем, 0,5 на худшем глазу;</w:t>
            </w:r>
          </w:p>
          <w:p>
            <w:pPr>
              <w:spacing w:after="20"/>
              <w:ind w:left="20"/>
              <w:jc w:val="both"/>
            </w:pPr>
            <w:r>
              <w:rPr>
                <w:rFonts w:ascii="Times New Roman"/>
                <w:b w:val="false"/>
                <w:i w:val="false"/>
                <w:color w:val="000000"/>
                <w:sz w:val="20"/>
              </w:rPr>
              <w:t>
проводников железно - дорожных вагонов, кондукторов, руководителей производственно эксплуатационных подразделений;</w:t>
            </w:r>
          </w:p>
          <w:p>
            <w:pPr>
              <w:spacing w:after="20"/>
              <w:ind w:left="20"/>
              <w:jc w:val="both"/>
            </w:pPr>
            <w:r>
              <w:rPr>
                <w:rFonts w:ascii="Times New Roman"/>
                <w:b w:val="false"/>
                <w:i w:val="false"/>
                <w:color w:val="000000"/>
                <w:sz w:val="20"/>
              </w:rPr>
              <w:t>
техников - механиков с остротой зрения 0,8 на лучшем, 0,5 на худшем глазу;</w:t>
            </w:r>
          </w:p>
          <w:p>
            <w:pPr>
              <w:spacing w:after="20"/>
              <w:ind w:left="20"/>
              <w:jc w:val="both"/>
            </w:pPr>
            <w:r>
              <w:rPr>
                <w:rFonts w:ascii="Times New Roman"/>
                <w:b w:val="false"/>
                <w:i w:val="false"/>
                <w:color w:val="000000"/>
                <w:sz w:val="20"/>
              </w:rPr>
              <w:t>
рабочих по обслуживанию и ремонту путевых машин и механизмов железнодорожного транспорта с остротой зрения 0,8 на лучшем, 0,4 на худшем глазу;</w:t>
            </w:r>
          </w:p>
          <w:p>
            <w:pPr>
              <w:spacing w:after="20"/>
              <w:ind w:left="20"/>
              <w:jc w:val="both"/>
            </w:pPr>
            <w:r>
              <w:rPr>
                <w:rFonts w:ascii="Times New Roman"/>
                <w:b w:val="false"/>
                <w:i w:val="false"/>
                <w:color w:val="000000"/>
                <w:sz w:val="20"/>
              </w:rPr>
              <w:t>
рабочих по обслуживанию и ремонту линейных сооружений и станционного оборудования связи;</w:t>
            </w:r>
          </w:p>
          <w:p>
            <w:pPr>
              <w:spacing w:after="20"/>
              <w:ind w:left="20"/>
              <w:jc w:val="both"/>
            </w:pPr>
            <w:r>
              <w:rPr>
                <w:rFonts w:ascii="Times New Roman"/>
                <w:b w:val="false"/>
                <w:i w:val="false"/>
                <w:color w:val="000000"/>
                <w:sz w:val="20"/>
              </w:rPr>
              <w:t>
руководителей специализированных подразделений с остротой зрения 0,7 на лучшем, 0,3 на худшем глазу.</w:t>
            </w:r>
          </w:p>
          <w:p>
            <w:pPr>
              <w:spacing w:after="20"/>
              <w:ind w:left="20"/>
              <w:jc w:val="both"/>
            </w:pPr>
            <w:r>
              <w:rPr>
                <w:rFonts w:ascii="Times New Roman"/>
                <w:b w:val="false"/>
                <w:i w:val="false"/>
                <w:color w:val="000000"/>
                <w:sz w:val="20"/>
              </w:rPr>
              <w:t>
В группе водителей и машинистов подвижного оборудования учитывают необходимую остроту зрения, как с коррекцией, так и без коррекции. Определение остроты зрения у абитуриентов, учащихся, поступающих и работников профессий групп водителей и машинистов подвижного оборудования, и проводников железнодорожных вагонов, кондукторов, руководителей производственно эксплуатационных подразделений, техников - механиков осуществляется по кольцам таблиц Ландольта, профессий - по буквенным оптотипам таблиц Головина Сивцева. Для групп диспетчеров, служащих, занятых учетом на транспорте,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 - дорожных вагонов, кондукторов, руководителей производственно эксплуатационных подразделений, техников - механиков, рабочих по обслуживанию и ремонту линейных сооружений и станционного оборудования связи, руководителей специализированных подразделений в случаях, когда коррекция остроты зрения не разрешена, экспертное заключение выносится по разделу "без коррекции", когда коррекция разрешена - по разделу "с коррекцией" или "без коррекции". При необходимости очковой или контактной коррекции в заключении указывается: "годен в очках (контактных линзах)". Допущенные при данных условиях имеют запасную пару очков или линз, контроль за их ношением (и наличием запасных оптических средств) осуществляет инструкторский состав и медицинский персонал здравпунктов локомотивного депо. Рефракция у поступающих определяется под циклоплегией: в профессиях группы водителей и машинистов подвижного оборудования (кроме профессии машиниста и помощника машиниста путевых машин) допускается аметропия до 0,5 диоптрии (далее - Д), в профессиях: дежурный стрелочного поста, сигналист, составитель поездов, помощник составителя поездов (включая старшего), кондуктор грузовых поездов (включая главного), регулировщик скорости движения вагонов, электросварщик, электрогазосварщик (работающие на путях) допускается аметропия до 1,0 Д. Для всех профессиональных групп разрешается коррекция пресбиопии. Оптическая коррекция анизометропии разрешается при разнице не более 2,0 Д, при условии хорошей переносимости. Состояние после кератотомии или инфракератопластики абитуриентам, учащимся и поступающим в профессии группы водителей и машинистов подвижного оборудования, а также машинистам, назначаемые и занятые на поездной работе без помощника, является противовопоказанием. Поступающие и работники остальных профессий допускаются при сохранении профессионально значимых функций и отсутствии осложнений. После рефракционных операций зрительные функции восстанавливаются в среднем через 1 год. Исходная миопическая или гиперметропическая рефракция до операции может быть у работников группы водителей и машинистов подвижного оборудования не выше 4,0 Д. У поступающих и работников групп диспетчеров, служащих, занятых учетом на транспорте, группу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 - дорожных вагонов, кондукторов, руководителей производственно эксплуатационных подразделений, техников - механиков, рабочих по обслуживанию и ремонту линейных сооружений и станционного оборудования связи, руководителей специализированных подразделений - не выше 6,0 Д (при отсутствии данных о состоянии рефракции проводится ультразвуковая биометрия: при длине оси глаза более 26,0 миллиметров или менее 22,0 миллиметров являются противопоказанием).</w:t>
            </w:r>
          </w:p>
          <w:p>
            <w:pPr>
              <w:spacing w:after="20"/>
              <w:ind w:left="20"/>
              <w:jc w:val="both"/>
            </w:pPr>
            <w:r>
              <w:rPr>
                <w:rFonts w:ascii="Times New Roman"/>
                <w:b w:val="false"/>
                <w:i w:val="false"/>
                <w:color w:val="000000"/>
                <w:sz w:val="20"/>
              </w:rPr>
              <w:t>
2) коррекция афакии у работников: нестабильное положение интраокулярной линзой (далее - ИОЛ), склонность к вывихиванию в переднюю или заднюю камеры, гипертензия в артифакичном глазу, кистозная фильтрационная подушечка противопоказаны для работников в группах водителей и машинистов подвижного оборудования, проводников железнодорожных вагонов, кондукторов, руководителей производственно эксплуатационных подразделений, техников – механиков. Допускается только односторонняя интракапсулярная ИОЛ, двухсторонняя ИОЛ решается ВКК для работающих в группах диспетчеров, служащих, занятых учетом на транспорте, рабочих по обслуживанию и ремонту путевых машин и механизмов железнодорожного транспорта;</w:t>
            </w:r>
          </w:p>
          <w:p>
            <w:pPr>
              <w:spacing w:after="20"/>
              <w:ind w:left="20"/>
              <w:jc w:val="both"/>
            </w:pPr>
            <w:r>
              <w:rPr>
                <w:rFonts w:ascii="Times New Roman"/>
                <w:b w:val="false"/>
                <w:i w:val="false"/>
                <w:color w:val="000000"/>
                <w:sz w:val="20"/>
              </w:rPr>
              <w:t>
Допускается односторонняя ИОЛ любого вида, двухсторонняя ИОЛ решается ВКК для работающих в группе тормозных рабочих, стрелочников, сцепщиков, рабочих по обслуживанию и ремонту путевых машин и механизмов железнодорожного транспорта. Допускается только односторонняя интракапсулярная ИОЛ или заднекамерная ИОЛ, двухсторонняя ИОЛ решается ВКК для работающих в группе рабочих по обслуживанию и ремонту линейных сооружений и станционного оборудования связи, руководителей специализированных подразделений;</w:t>
            </w:r>
          </w:p>
          <w:p>
            <w:pPr>
              <w:spacing w:after="20"/>
              <w:ind w:left="20"/>
              <w:jc w:val="both"/>
            </w:pPr>
            <w:r>
              <w:rPr>
                <w:rFonts w:ascii="Times New Roman"/>
                <w:b w:val="false"/>
                <w:i w:val="false"/>
                <w:color w:val="000000"/>
                <w:sz w:val="20"/>
              </w:rPr>
              <w:t>
3) аномалии цветового зрения допускаются для групп тормозных рабочих, стрелочников, сцепщиков, рабочих по обслуживанию и ремонту путевых машин и механизмов железнодорожного транспорта;</w:t>
            </w:r>
          </w:p>
          <w:p>
            <w:pPr>
              <w:spacing w:after="20"/>
              <w:ind w:left="20"/>
              <w:jc w:val="both"/>
            </w:pPr>
            <w:r>
              <w:rPr>
                <w:rFonts w:ascii="Times New Roman"/>
                <w:b w:val="false"/>
                <w:i w:val="false"/>
                <w:color w:val="000000"/>
                <w:sz w:val="20"/>
              </w:rPr>
              <w:t>
4) глаукома противопоказана для всех поступающих на работу и работников машинистов, занятых на поездной работе без помощника машиниста. Глаукома II стадии компенсированная и стабилизированная оперативно или медикаментозно и I стадии стабилизированная, компенсированная местной гипотензивной терапией противопоказано для поступающих всех групп профессии занятых на поездной работе; работников группы машинистов, водителей подвижного оборудования. Глаукома I стадии оперированная с хорошим результатом и компенсированная без применения местной гипотензивной терапии, является противопоказанием для поступающих на работу работников группы водителей и машинистов подвижного оборудования и машинистов, занятых на поездной работе без помощника машиниста. Работники с глаукомой проходят обязательные медицинские осмотры 2 раза в год;</w:t>
            </w:r>
          </w:p>
          <w:p>
            <w:pPr>
              <w:spacing w:after="20"/>
              <w:ind w:left="20"/>
              <w:jc w:val="both"/>
            </w:pPr>
            <w:r>
              <w:rPr>
                <w:rFonts w:ascii="Times New Roman"/>
                <w:b w:val="false"/>
                <w:i w:val="false"/>
                <w:color w:val="000000"/>
                <w:sz w:val="20"/>
              </w:rPr>
              <w:t>
5) болезни мышц глаза, сопровождающиеся двоением. Косоглазие с нарушением бинокулярного зрения противопоказаны для поступающих на работу и работников профессий группы водителей и машинистов подвижного оборудования, поступающих на работу в группе профессий рабочих по обслуживанию и ремонту линейных сооружений и станционного оборудования связи, руководителей специализированных подразделений (кроме должности начальника участка производства);</w:t>
            </w:r>
          </w:p>
          <w:p>
            <w:pPr>
              <w:spacing w:after="20"/>
              <w:ind w:left="20"/>
              <w:jc w:val="both"/>
            </w:pPr>
            <w:r>
              <w:rPr>
                <w:rFonts w:ascii="Times New Roman"/>
                <w:b w:val="false"/>
                <w:i w:val="false"/>
                <w:color w:val="000000"/>
                <w:sz w:val="20"/>
              </w:rPr>
              <w:t>
6) ограничение поля зрения с минимальным порогом в 30 градусов. Для работников профессий - диспетчеров, служащих, занятых учетом на транспорте,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железнодорожных вагонов, кондукторов, руководителей производственно-эксплуатационных подразделений, техников-механиков, рабочих по обслуживанию и ремонту линейных сооружений и станционного оборудования связи, руководителей специализированных подразделений вопрос допуска к работе решается индивидуально. Ограничение поля зрения более чем на 20 и более градусов от точки фиксации в любом меридиане. Центральная скотома (абсолютная или относительная) является противопоказанием для групп водителей и машинистов подвижного оборудования. Ограничение поля зрения на 30 и более градусов от точки фиксации в любом меридиане, является противопоказанием для диспетчеров, служащих, занятых учетом на транспорте;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 - дорожных вагонов, кондукторов, руководителей производственно- эксплуатационных подразделений, техников-механиков, рабочих по обслуживанию и ремонту линейных сооружений и станционного оборудования связи, руководителей специализированных подразделений;</w:t>
            </w:r>
          </w:p>
          <w:p>
            <w:pPr>
              <w:spacing w:after="20"/>
              <w:ind w:left="20"/>
              <w:jc w:val="both"/>
            </w:pPr>
            <w:r>
              <w:rPr>
                <w:rFonts w:ascii="Times New Roman"/>
                <w:b w:val="false"/>
                <w:i w:val="false"/>
                <w:color w:val="000000"/>
                <w:sz w:val="20"/>
              </w:rPr>
              <w:t>
7) снижение остроты зрения с коррекцией сферической линзой не сильнее +1,5 Д, цилиндрической линзой не сильнее +1,0 Д, ниже 1,0 на каждом глазу противопоказано для поступающих работников группы водителей и машинистов подвижного оборудования и машинистов, занятых на поездной работе без помощника машиниста.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противопоказания к допуску к работе лиц декретированной группы населения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Инфекционные заболевания и носители инфекционных возбудителей (стафилококк, стрептококк, сифилис, гонорея и другие);</w:t>
            </w:r>
          </w:p>
          <w:p>
            <w:pPr>
              <w:spacing w:after="20"/>
              <w:ind w:left="20"/>
              <w:jc w:val="both"/>
            </w:pPr>
            <w:r>
              <w:rPr>
                <w:rFonts w:ascii="Times New Roman"/>
                <w:b w:val="false"/>
                <w:i w:val="false"/>
                <w:color w:val="000000"/>
                <w:sz w:val="20"/>
              </w:rPr>
              <w:t>
2. бактерионосительство возбудителей заболеваний брюшного тифа, паратифов, сальмонеллеза, дизентерии;</w:t>
            </w:r>
          </w:p>
          <w:p>
            <w:pPr>
              <w:spacing w:after="20"/>
              <w:ind w:left="20"/>
              <w:jc w:val="both"/>
            </w:pPr>
            <w:r>
              <w:rPr>
                <w:rFonts w:ascii="Times New Roman"/>
                <w:b w:val="false"/>
                <w:i w:val="false"/>
                <w:color w:val="000000"/>
                <w:sz w:val="20"/>
              </w:rPr>
              <w:t>
3. носительство яиц гельминтов;</w:t>
            </w:r>
          </w:p>
          <w:p>
            <w:pPr>
              <w:spacing w:after="20"/>
              <w:ind w:left="20"/>
              <w:jc w:val="both"/>
            </w:pPr>
            <w:r>
              <w:rPr>
                <w:rFonts w:ascii="Times New Roman"/>
                <w:b w:val="false"/>
                <w:i w:val="false"/>
                <w:color w:val="000000"/>
                <w:sz w:val="20"/>
              </w:rPr>
              <w:t>
4. гнойничковые заболевания - в акушерские и хирургические стационары, отделения патологии новорожденных, недоношенных детей, детские молочные кухни, в организации по изготовлению и реализации кремово-кондитерских и других пищевых продуктов;</w:t>
            </w:r>
          </w:p>
          <w:p>
            <w:pPr>
              <w:spacing w:after="20"/>
              <w:ind w:left="20"/>
              <w:jc w:val="both"/>
            </w:pPr>
            <w:r>
              <w:rPr>
                <w:rFonts w:ascii="Times New Roman"/>
                <w:b w:val="false"/>
                <w:i w:val="false"/>
                <w:color w:val="000000"/>
                <w:sz w:val="20"/>
              </w:rPr>
              <w:t>
5. незаразные кожные заболевания (псориаз, экзема, аллергические дерматиты);</w:t>
            </w:r>
          </w:p>
          <w:p>
            <w:pPr>
              <w:spacing w:after="20"/>
              <w:ind w:left="20"/>
              <w:jc w:val="both"/>
            </w:pPr>
            <w:r>
              <w:rPr>
                <w:rFonts w:ascii="Times New Roman"/>
                <w:b w:val="false"/>
                <w:i w:val="false"/>
                <w:color w:val="000000"/>
                <w:sz w:val="20"/>
              </w:rPr>
              <w:t>
6. переболевшие туберкулезом: в родильные дома (отделения), детские больницы (отделения), отделения патологии новорожденных и недоношенных; в дошкольные организации (детские ясли/сады, дома ребенка, детские дома, детские санатории) и младших классов школьных организации по заключению централизованной ВКК в противотуберкулезных диспансерах;</w:t>
            </w:r>
          </w:p>
          <w:p>
            <w:pPr>
              <w:spacing w:after="20"/>
              <w:ind w:left="20"/>
              <w:jc w:val="both"/>
            </w:pPr>
            <w:r>
              <w:rPr>
                <w:rFonts w:ascii="Times New Roman"/>
                <w:b w:val="false"/>
                <w:i w:val="false"/>
                <w:color w:val="000000"/>
                <w:sz w:val="20"/>
              </w:rPr>
              <w:t>
7. активный туберкулез всех органов и систем. Последствия перенесенного туберкулеза (в том числе послеоперационные), сопровождающиеся функциональными нарушениями пораженных органов.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