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2b2179" w14:textId="f2b21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нормативные постановления Счетного комитета по контролю за исполнением республиканского бюджета от 31 марта 2016 года № 5-НҚ "Об утверждении процедурных стандартов внешнего государственного аудита и финансового контроля" и от 30 июля 2020 года № 6-НҚ "Об утверждении Правил проведения внешнего государственного аудита и финансового контроля"</w:t>
      </w:r>
    </w:p>
    <w:p>
      <w:pPr>
        <w:spacing w:after="0"/>
        <w:ind w:left="0"/>
        <w:jc w:val="both"/>
      </w:pPr>
      <w:r>
        <w:rPr>
          <w:rFonts w:ascii="Times New Roman"/>
          <w:b w:val="false"/>
          <w:i w:val="false"/>
          <w:color w:val="000000"/>
          <w:sz w:val="28"/>
        </w:rPr>
        <w:t>Нормативное постановление Высшей аудиторской палаты Республики Казахстан от 7 сентября 2026 года № 13-НҚ. Зарегистрировано в Министерстве юстиции Республики Казахстан 8 сентября 2026 года № 39841</w:t>
      </w:r>
    </w:p>
    <w:p>
      <w:pPr>
        <w:spacing w:after="0"/>
        <w:ind w:left="0"/>
        <w:jc w:val="both"/>
      </w:pPr>
      <w:bookmarkStart w:name="z7" w:id="0"/>
      <w:r>
        <w:rPr>
          <w:rFonts w:ascii="Times New Roman"/>
          <w:b w:val="false"/>
          <w:i w:val="false"/>
          <w:color w:val="000000"/>
          <w:sz w:val="28"/>
        </w:rPr>
        <w:t>
      Высшая аудиторская палата Республики Казахстан (далее – Высшая аудиторская палата) ПОСТАНОВЛЯЕТ:</w:t>
      </w:r>
    </w:p>
    <w:bookmarkEnd w:id="0"/>
    <w:bookmarkStart w:name="z8"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Счетного комитета по контролю за исполнением республиканского бюджета от 31 марта 2016 года № 5-НҚ "Об утверждении процедурных стандартов внешнего государственного аудита и финансового контроля" (зарегистрировано в Реестре государственной регистрации нормативных правовых актов № 13647) следующие изменения и дополнения:</w:t>
      </w:r>
    </w:p>
    <w:bookmarkEnd w:id="1"/>
    <w:bookmarkStart w:name="z9" w:id="2"/>
    <w:p>
      <w:pPr>
        <w:spacing w:after="0"/>
        <w:ind w:left="0"/>
        <w:jc w:val="both"/>
      </w:pPr>
      <w:r>
        <w:rPr>
          <w:rFonts w:ascii="Times New Roman"/>
          <w:b w:val="false"/>
          <w:i w:val="false"/>
          <w:color w:val="000000"/>
          <w:sz w:val="28"/>
        </w:rPr>
        <w:t xml:space="preserve">
      в 100. </w:t>
      </w:r>
      <w:r>
        <w:rPr>
          <w:rFonts w:ascii="Times New Roman"/>
          <w:b w:val="false"/>
          <w:i w:val="false"/>
          <w:color w:val="000000"/>
          <w:sz w:val="28"/>
        </w:rPr>
        <w:t>Процедурном стандарте</w:t>
      </w:r>
      <w:r>
        <w:rPr>
          <w:rFonts w:ascii="Times New Roman"/>
          <w:b w:val="false"/>
          <w:i w:val="false"/>
          <w:color w:val="000000"/>
          <w:sz w:val="28"/>
        </w:rPr>
        <w:t xml:space="preserve"> внешнего государственного аудита и финансового контроля по проведению аудита эффективности, утвержденном указанным нормативным постановлением: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11" w:id="3"/>
    <w:p>
      <w:pPr>
        <w:spacing w:after="0"/>
        <w:ind w:left="0"/>
        <w:jc w:val="both"/>
      </w:pPr>
      <w:r>
        <w:rPr>
          <w:rFonts w:ascii="Times New Roman"/>
          <w:b w:val="false"/>
          <w:i w:val="false"/>
          <w:color w:val="000000"/>
          <w:sz w:val="28"/>
        </w:rPr>
        <w:t xml:space="preserve">
      "11. Аудит эффективности в соответствии с компетенциями органов аудита (Высшая аудиторская палата Республики Казахстан, ревизионные комиссии столицы, областей, городов республиканского значения (далее – Ревизионные комиссии)) начинается с перспективного планирования, формирования перечня объектов государственного аудита и осуществляется по этапам, предусмотренным Правилами проведения внешнего государственного аудита и финансового контроля, утвержденными </w:t>
      </w:r>
      <w:r>
        <w:rPr>
          <w:rFonts w:ascii="Times New Roman"/>
          <w:b w:val="false"/>
          <w:i w:val="false"/>
          <w:color w:val="000000"/>
          <w:sz w:val="28"/>
        </w:rPr>
        <w:t>нормативным постановлением</w:t>
      </w:r>
      <w:r>
        <w:rPr>
          <w:rFonts w:ascii="Times New Roman"/>
          <w:b w:val="false"/>
          <w:i w:val="false"/>
          <w:color w:val="000000"/>
          <w:sz w:val="28"/>
        </w:rPr>
        <w:t xml:space="preserve"> Счетного комитета по контролю за исполнением республиканского бюджета от 30 июля 2020 года № 6-НҚ (зарегистрировано в Реестре государственной регистрации нормативных правовых актов № 21070) (далее – Правила).";</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15 изложить в следующей редакции:</w:t>
      </w:r>
    </w:p>
    <w:bookmarkStart w:name="z13" w:id="4"/>
    <w:p>
      <w:pPr>
        <w:spacing w:after="0"/>
        <w:ind w:left="0"/>
        <w:jc w:val="both"/>
      </w:pPr>
      <w:r>
        <w:rPr>
          <w:rFonts w:ascii="Times New Roman"/>
          <w:b w:val="false"/>
          <w:i w:val="false"/>
          <w:color w:val="000000"/>
          <w:sz w:val="28"/>
        </w:rPr>
        <w:t>
      "9) сфера цифровых технологий – предполагает изучение и (или) обладание пониманием требований законодательства, методологических и технических документов, определяющих правила применения цифровых технологий в государственном и квазигосударственном секторах. Для проведения аудита эффективности по данному направлению требуются специальные знания и навыки. Государственные аудиторы и эксперты должны быть осведомлены в части применяемых политик и практик по инициированию, разработке, внедрению, сопровождению и обновлению цифровых технологий пользователями данных технологий, а также распределения компетенций, полномочий и ответственности в сфере управления цифровыми технологиями;";</w:t>
      </w:r>
    </w:p>
    <w:bookmarkEnd w:id="4"/>
    <w:bookmarkStart w:name="z14" w:id="5"/>
    <w:p>
      <w:pPr>
        <w:spacing w:after="0"/>
        <w:ind w:left="0"/>
        <w:jc w:val="both"/>
      </w:pPr>
      <w:r>
        <w:rPr>
          <w:rFonts w:ascii="Times New Roman"/>
          <w:b w:val="false"/>
          <w:i w:val="false"/>
          <w:color w:val="000000"/>
          <w:sz w:val="28"/>
        </w:rPr>
        <w:t>
      дополнить главой 4-1 следующего содержания:</w:t>
      </w:r>
    </w:p>
    <w:bookmarkEnd w:id="5"/>
    <w:bookmarkStart w:name="z15" w:id="6"/>
    <w:p>
      <w:pPr>
        <w:spacing w:after="0"/>
        <w:ind w:left="0"/>
        <w:jc w:val="both"/>
      </w:pPr>
      <w:r>
        <w:rPr>
          <w:rFonts w:ascii="Times New Roman"/>
          <w:b w:val="false"/>
          <w:i w:val="false"/>
          <w:color w:val="000000"/>
          <w:sz w:val="28"/>
        </w:rPr>
        <w:t>
      "Глава 4-1. Формирование перспективного плана</w:t>
      </w:r>
    </w:p>
    <w:bookmarkEnd w:id="6"/>
    <w:bookmarkStart w:name="z16" w:id="7"/>
    <w:p>
      <w:pPr>
        <w:spacing w:after="0"/>
        <w:ind w:left="0"/>
        <w:jc w:val="both"/>
      </w:pPr>
      <w:r>
        <w:rPr>
          <w:rFonts w:ascii="Times New Roman"/>
          <w:b w:val="false"/>
          <w:i w:val="false"/>
          <w:color w:val="000000"/>
          <w:sz w:val="28"/>
        </w:rPr>
        <w:t xml:space="preserve">
      19. Система планирования аудитов эффективности связана с процедурами планирования деятельности органа аудита и подразделяется на два уровня: перспективное планирование (определение тем аудита эффективности на двухлетний период) и планирование аудиторского мероприятия, объектов государственного аудита на очередной год. </w:t>
      </w:r>
    </w:p>
    <w:bookmarkEnd w:id="7"/>
    <w:bookmarkStart w:name="z17" w:id="8"/>
    <w:p>
      <w:pPr>
        <w:spacing w:after="0"/>
        <w:ind w:left="0"/>
        <w:jc w:val="both"/>
      </w:pPr>
      <w:r>
        <w:rPr>
          <w:rFonts w:ascii="Times New Roman"/>
          <w:b w:val="false"/>
          <w:i w:val="false"/>
          <w:color w:val="000000"/>
          <w:sz w:val="28"/>
        </w:rPr>
        <w:t>
      20. Основными задачами перспективного планирования аудитов эффективности являются:</w:t>
      </w:r>
    </w:p>
    <w:bookmarkEnd w:id="8"/>
    <w:bookmarkStart w:name="z18" w:id="9"/>
    <w:p>
      <w:pPr>
        <w:spacing w:after="0"/>
        <w:ind w:left="0"/>
        <w:jc w:val="both"/>
      </w:pPr>
      <w:r>
        <w:rPr>
          <w:rFonts w:ascii="Times New Roman"/>
          <w:b w:val="false"/>
          <w:i w:val="false"/>
          <w:color w:val="000000"/>
          <w:sz w:val="28"/>
        </w:rPr>
        <w:t>
      1) определение актуальных (значимых) тем аудитов эффективности;</w:t>
      </w:r>
    </w:p>
    <w:bookmarkEnd w:id="9"/>
    <w:bookmarkStart w:name="z19" w:id="10"/>
    <w:p>
      <w:pPr>
        <w:spacing w:after="0"/>
        <w:ind w:left="0"/>
        <w:jc w:val="both"/>
      </w:pPr>
      <w:r>
        <w:rPr>
          <w:rFonts w:ascii="Times New Roman"/>
          <w:b w:val="false"/>
          <w:i w:val="false"/>
          <w:color w:val="000000"/>
          <w:sz w:val="28"/>
        </w:rPr>
        <w:t>
      2) своевременное решение вопросов по ресурсному обеспечению планируемых аудитов эффективности, включая подготовку государственных аудиторов и подбор экспертов, а также принятие мер по снижению аудиторских рисков;</w:t>
      </w:r>
    </w:p>
    <w:bookmarkEnd w:id="10"/>
    <w:bookmarkStart w:name="z20" w:id="11"/>
    <w:p>
      <w:pPr>
        <w:spacing w:after="0"/>
        <w:ind w:left="0"/>
        <w:jc w:val="both"/>
      </w:pPr>
      <w:r>
        <w:rPr>
          <w:rFonts w:ascii="Times New Roman"/>
          <w:b w:val="false"/>
          <w:i w:val="false"/>
          <w:color w:val="000000"/>
          <w:sz w:val="28"/>
        </w:rPr>
        <w:t>
      3) создание основы для качественного планирования аудиторских мероприятий, в том числе посредством определения методов по сбору необходимой информации и определению способов проведения аудиторских мероприятий.</w:t>
      </w:r>
    </w:p>
    <w:bookmarkEnd w:id="11"/>
    <w:bookmarkStart w:name="z21" w:id="12"/>
    <w:p>
      <w:pPr>
        <w:spacing w:after="0"/>
        <w:ind w:left="0"/>
        <w:jc w:val="both"/>
      </w:pPr>
      <w:r>
        <w:rPr>
          <w:rFonts w:ascii="Times New Roman"/>
          <w:b w:val="false"/>
          <w:i w:val="false"/>
          <w:color w:val="000000"/>
          <w:sz w:val="28"/>
        </w:rPr>
        <w:t xml:space="preserve">
      21. Процесс перспективного планирования аудитов эффективности состоит из следующих взаимосвязанных этапов: </w:t>
      </w:r>
    </w:p>
    <w:bookmarkEnd w:id="12"/>
    <w:bookmarkStart w:name="z22" w:id="13"/>
    <w:p>
      <w:pPr>
        <w:spacing w:after="0"/>
        <w:ind w:left="0"/>
        <w:jc w:val="both"/>
      </w:pPr>
      <w:r>
        <w:rPr>
          <w:rFonts w:ascii="Times New Roman"/>
          <w:b w:val="false"/>
          <w:i w:val="false"/>
          <w:color w:val="000000"/>
          <w:sz w:val="28"/>
        </w:rPr>
        <w:t>
      1) изучение системы государственного управления;</w:t>
      </w:r>
    </w:p>
    <w:bookmarkEnd w:id="13"/>
    <w:bookmarkStart w:name="z23" w:id="14"/>
    <w:p>
      <w:pPr>
        <w:spacing w:after="0"/>
        <w:ind w:left="0"/>
        <w:jc w:val="both"/>
      </w:pPr>
      <w:r>
        <w:rPr>
          <w:rFonts w:ascii="Times New Roman"/>
          <w:b w:val="false"/>
          <w:i w:val="false"/>
          <w:color w:val="000000"/>
          <w:sz w:val="28"/>
        </w:rPr>
        <w:t>
      2) определение направлений государственного аудита;</w:t>
      </w:r>
    </w:p>
    <w:bookmarkEnd w:id="14"/>
    <w:bookmarkStart w:name="z24" w:id="15"/>
    <w:p>
      <w:pPr>
        <w:spacing w:after="0"/>
        <w:ind w:left="0"/>
        <w:jc w:val="both"/>
      </w:pPr>
      <w:r>
        <w:rPr>
          <w:rFonts w:ascii="Times New Roman"/>
          <w:b w:val="false"/>
          <w:i w:val="false"/>
          <w:color w:val="000000"/>
          <w:sz w:val="28"/>
        </w:rPr>
        <w:t>
      3) определение, обоснование тем аудитов эффективности.</w:t>
      </w:r>
    </w:p>
    <w:bookmarkEnd w:id="15"/>
    <w:bookmarkStart w:name="z25" w:id="16"/>
    <w:p>
      <w:pPr>
        <w:spacing w:after="0"/>
        <w:ind w:left="0"/>
        <w:jc w:val="both"/>
      </w:pPr>
      <w:r>
        <w:rPr>
          <w:rFonts w:ascii="Times New Roman"/>
          <w:b w:val="false"/>
          <w:i w:val="false"/>
          <w:color w:val="000000"/>
          <w:sz w:val="28"/>
        </w:rPr>
        <w:t>
      22. При перспективном планировании государственного аудита определяются приоритетные темы аудита эффективности, которые рассматриваются и анализируются органами аудита на предмет включения в проект перечня объектов государственного аудита на очередной год.</w:t>
      </w:r>
    </w:p>
    <w:bookmarkEnd w:id="16"/>
    <w:bookmarkStart w:name="z26" w:id="17"/>
    <w:p>
      <w:pPr>
        <w:spacing w:after="0"/>
        <w:ind w:left="0"/>
        <w:jc w:val="both"/>
      </w:pPr>
      <w:r>
        <w:rPr>
          <w:rFonts w:ascii="Times New Roman"/>
          <w:b w:val="false"/>
          <w:i w:val="false"/>
          <w:color w:val="000000"/>
          <w:sz w:val="28"/>
        </w:rPr>
        <w:t xml:space="preserve">
      23. Темой аудита эффективности при перспективном планировании является формулировка проблемы или вопроса, на которой впоследствии будет сфокусировано планируемое аудиторское мероприятие. </w:t>
      </w:r>
    </w:p>
    <w:bookmarkEnd w:id="17"/>
    <w:bookmarkStart w:name="z27" w:id="18"/>
    <w:p>
      <w:pPr>
        <w:spacing w:after="0"/>
        <w:ind w:left="0"/>
        <w:jc w:val="both"/>
      </w:pPr>
      <w:r>
        <w:rPr>
          <w:rFonts w:ascii="Times New Roman"/>
          <w:b w:val="false"/>
          <w:i w:val="false"/>
          <w:color w:val="000000"/>
          <w:sz w:val="28"/>
        </w:rPr>
        <w:t>
      24. Определение или выбор темы аудита эффективности осуществляется на основании следующих критериев:</w:t>
      </w:r>
    </w:p>
    <w:bookmarkEnd w:id="18"/>
    <w:bookmarkStart w:name="z28" w:id="19"/>
    <w:p>
      <w:pPr>
        <w:spacing w:after="0"/>
        <w:ind w:left="0"/>
        <w:jc w:val="both"/>
      </w:pPr>
      <w:r>
        <w:rPr>
          <w:rFonts w:ascii="Times New Roman"/>
          <w:b w:val="false"/>
          <w:i w:val="false"/>
          <w:color w:val="000000"/>
          <w:sz w:val="28"/>
        </w:rPr>
        <w:t>
      1) актуальность, социальная и экономическая значимость проблемы, существующей в системе государственного управления;</w:t>
      </w:r>
    </w:p>
    <w:bookmarkEnd w:id="19"/>
    <w:bookmarkStart w:name="z29" w:id="20"/>
    <w:p>
      <w:pPr>
        <w:spacing w:after="0"/>
        <w:ind w:left="0"/>
        <w:jc w:val="both"/>
      </w:pPr>
      <w:r>
        <w:rPr>
          <w:rFonts w:ascii="Times New Roman"/>
          <w:b w:val="false"/>
          <w:i w:val="false"/>
          <w:color w:val="000000"/>
          <w:sz w:val="28"/>
        </w:rPr>
        <w:t>
      2) финансовая существенность, которая предполагает консолидацию значительного объема финансовых ресурсов и активов государства для достижения определенных целей;</w:t>
      </w:r>
    </w:p>
    <w:bookmarkEnd w:id="20"/>
    <w:bookmarkStart w:name="z30" w:id="21"/>
    <w:p>
      <w:pPr>
        <w:spacing w:after="0"/>
        <w:ind w:left="0"/>
        <w:jc w:val="both"/>
      </w:pPr>
      <w:r>
        <w:rPr>
          <w:rFonts w:ascii="Times New Roman"/>
          <w:b w:val="false"/>
          <w:i w:val="false"/>
          <w:color w:val="000000"/>
          <w:sz w:val="28"/>
        </w:rPr>
        <w:t>
      3) потенциальные финансовые и нефинансовые выгоды от аудитов эффективности;</w:t>
      </w:r>
    </w:p>
    <w:bookmarkEnd w:id="21"/>
    <w:bookmarkStart w:name="z31" w:id="22"/>
    <w:p>
      <w:pPr>
        <w:spacing w:after="0"/>
        <w:ind w:left="0"/>
        <w:jc w:val="both"/>
      </w:pPr>
      <w:r>
        <w:rPr>
          <w:rFonts w:ascii="Times New Roman"/>
          <w:b w:val="false"/>
          <w:i w:val="false"/>
          <w:color w:val="000000"/>
          <w:sz w:val="28"/>
        </w:rPr>
        <w:t>
      4) заинтересованность пользователей аудиторских отчетов.</w:t>
      </w:r>
    </w:p>
    <w:bookmarkEnd w:id="22"/>
    <w:bookmarkStart w:name="z32" w:id="23"/>
    <w:p>
      <w:pPr>
        <w:spacing w:after="0"/>
        <w:ind w:left="0"/>
        <w:jc w:val="both"/>
      </w:pPr>
      <w:r>
        <w:rPr>
          <w:rFonts w:ascii="Times New Roman"/>
          <w:b w:val="false"/>
          <w:i w:val="false"/>
          <w:color w:val="000000"/>
          <w:sz w:val="28"/>
        </w:rPr>
        <w:t>
      К нефинансовой выгоде относится получение положительного результата или преимущества, не выраженного в денежной форме и не связанного с получением прямого материального дохода, но способствующего повышению эффективности деятельности, качества управления (совершенствование процессов управления, повышение качества государственных услуг, репутации, уровня безопасности), прозрачности (открытости), удовлетворенности заинтересованных сторон или достижению иных значимых целей (получение знаний и опыта либо оказание положительного влияния на состояние здоровья населения).</w:t>
      </w:r>
    </w:p>
    <w:bookmarkEnd w:id="23"/>
    <w:bookmarkStart w:name="z33" w:id="24"/>
    <w:p>
      <w:pPr>
        <w:spacing w:after="0"/>
        <w:ind w:left="0"/>
        <w:jc w:val="both"/>
      </w:pPr>
      <w:r>
        <w:rPr>
          <w:rFonts w:ascii="Times New Roman"/>
          <w:b w:val="false"/>
          <w:i w:val="false"/>
          <w:color w:val="000000"/>
          <w:sz w:val="28"/>
        </w:rPr>
        <w:t>
      25. Все инициируемые темы аудита эффективности должны соответствовать критериям, указанным в пункте 24 настоящего Стандарта.</w:t>
      </w:r>
    </w:p>
    <w:bookmarkEnd w:id="24"/>
    <w:bookmarkStart w:name="z34" w:id="25"/>
    <w:p>
      <w:pPr>
        <w:spacing w:after="0"/>
        <w:ind w:left="0"/>
        <w:jc w:val="both"/>
      </w:pPr>
      <w:r>
        <w:rPr>
          <w:rFonts w:ascii="Times New Roman"/>
          <w:b w:val="false"/>
          <w:i w:val="false"/>
          <w:color w:val="000000"/>
          <w:sz w:val="28"/>
        </w:rPr>
        <w:t>
      26. При планировании аудита эффективности определяется работоспособная группа государственного аудита, которая в совокупности обладает необходимыми знаниями, навыками и опытом для качественного и своевременного проведения аудита эффективности и предоставления аудиторского заключения.</w:t>
      </w:r>
    </w:p>
    <w:bookmarkEnd w:id="25"/>
    <w:bookmarkStart w:name="z35" w:id="26"/>
    <w:p>
      <w:pPr>
        <w:spacing w:after="0"/>
        <w:ind w:left="0"/>
        <w:jc w:val="both"/>
      </w:pPr>
      <w:r>
        <w:rPr>
          <w:rFonts w:ascii="Times New Roman"/>
          <w:b w:val="false"/>
          <w:i w:val="false"/>
          <w:color w:val="000000"/>
          <w:sz w:val="28"/>
        </w:rPr>
        <w:t>
      27. Получение государственными аудиторами специальных знаний и навыков по темам, определенным при перспективном планировании, осуществляется до начала проведения аудита эффективности, предусмотренного в перечне объектов государственного аудита.";</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46</w:t>
      </w:r>
      <w:r>
        <w:rPr>
          <w:rFonts w:ascii="Times New Roman"/>
          <w:b w:val="false"/>
          <w:i w:val="false"/>
          <w:color w:val="000000"/>
          <w:sz w:val="28"/>
        </w:rPr>
        <w:t xml:space="preserve"> изложить в следующей редакции:</w:t>
      </w:r>
    </w:p>
    <w:bookmarkStart w:name="z37" w:id="27"/>
    <w:p>
      <w:pPr>
        <w:spacing w:after="0"/>
        <w:ind w:left="0"/>
        <w:jc w:val="both"/>
      </w:pPr>
      <w:r>
        <w:rPr>
          <w:rFonts w:ascii="Times New Roman"/>
          <w:b w:val="false"/>
          <w:i w:val="false"/>
          <w:color w:val="000000"/>
          <w:sz w:val="28"/>
        </w:rPr>
        <w:t xml:space="preserve">
      "46. Приемлемость определенных и (или) разработанных критериев аудита эффективности оценивается в ходе всех последующих аналитических и аудиторских процедур (до формирования аудиторского отчета)."; </w:t>
      </w:r>
    </w:p>
    <w:bookmarkEnd w:id="27"/>
    <w:bookmarkStart w:name="z38" w:id="28"/>
    <w:p>
      <w:pPr>
        <w:spacing w:after="0"/>
        <w:ind w:left="0"/>
        <w:jc w:val="both"/>
      </w:pPr>
      <w:r>
        <w:rPr>
          <w:rFonts w:ascii="Times New Roman"/>
          <w:b w:val="false"/>
          <w:i w:val="false"/>
          <w:color w:val="000000"/>
          <w:sz w:val="28"/>
        </w:rPr>
        <w:t>
      дополнить параграфом 4-1 следующего содержания:</w:t>
      </w:r>
    </w:p>
    <w:bookmarkEnd w:id="28"/>
    <w:bookmarkStart w:name="z39" w:id="29"/>
    <w:p>
      <w:pPr>
        <w:spacing w:after="0"/>
        <w:ind w:left="0"/>
        <w:jc w:val="both"/>
      </w:pPr>
      <w:r>
        <w:rPr>
          <w:rFonts w:ascii="Times New Roman"/>
          <w:b w:val="false"/>
          <w:i w:val="false"/>
          <w:color w:val="000000"/>
          <w:sz w:val="28"/>
        </w:rPr>
        <w:t>
      "Параграф 4-1. Формирование аудиторских заданий</w:t>
      </w:r>
    </w:p>
    <w:bookmarkEnd w:id="29"/>
    <w:bookmarkStart w:name="z40" w:id="30"/>
    <w:p>
      <w:pPr>
        <w:spacing w:after="0"/>
        <w:ind w:left="0"/>
        <w:jc w:val="both"/>
      </w:pPr>
      <w:r>
        <w:rPr>
          <w:rFonts w:ascii="Times New Roman"/>
          <w:b w:val="false"/>
          <w:i w:val="false"/>
          <w:color w:val="000000"/>
          <w:sz w:val="28"/>
        </w:rPr>
        <w:t>
      52-1. Проведение аудиторского мероприятия состоит из раскрытия вопросов и осуществления необходимых аудиторских и аналитических процедур, последовательно систематизированных в форме аудиторских заданий. Руководитель группы аудита эффективности по согласованию с должностным лицом органа аудита, ответственным за проведение аудиторского мероприятия, распределяет аудиторские задания между членами группы государственного аудита.</w:t>
      </w:r>
    </w:p>
    <w:bookmarkEnd w:id="30"/>
    <w:bookmarkStart w:name="z41" w:id="31"/>
    <w:p>
      <w:pPr>
        <w:spacing w:after="0"/>
        <w:ind w:left="0"/>
        <w:jc w:val="both"/>
      </w:pPr>
      <w:r>
        <w:rPr>
          <w:rFonts w:ascii="Times New Roman"/>
          <w:b w:val="false"/>
          <w:i w:val="false"/>
          <w:color w:val="000000"/>
          <w:sz w:val="28"/>
        </w:rPr>
        <w:t>
      52-2. Перечень аудиторских заданий формируется в строгом соответствии с целью и вопросами (или показателями) аудита эффективности. Детализация аудиторских заданий члена группы государственного аудита определяется руководителем данной группы. Каждое аудиторское задание должно быть сформулировано четко и отнесено к определенному этапу аудита эффективности с включением данных о начале и завершении данного задания.</w:t>
      </w:r>
    </w:p>
    <w:bookmarkEnd w:id="31"/>
    <w:bookmarkStart w:name="z42" w:id="32"/>
    <w:p>
      <w:pPr>
        <w:spacing w:after="0"/>
        <w:ind w:left="0"/>
        <w:jc w:val="both"/>
      </w:pPr>
      <w:r>
        <w:rPr>
          <w:rFonts w:ascii="Times New Roman"/>
          <w:b w:val="false"/>
          <w:i w:val="false"/>
          <w:color w:val="000000"/>
          <w:sz w:val="28"/>
        </w:rPr>
        <w:t>
      52-3. При распределении аудиторских заданий между членами группы государственного аудита могут использоваться способы:</w:t>
      </w:r>
    </w:p>
    <w:bookmarkEnd w:id="32"/>
    <w:bookmarkStart w:name="z43" w:id="33"/>
    <w:p>
      <w:pPr>
        <w:spacing w:after="0"/>
        <w:ind w:left="0"/>
        <w:jc w:val="both"/>
      </w:pPr>
      <w:r>
        <w:rPr>
          <w:rFonts w:ascii="Times New Roman"/>
          <w:b w:val="false"/>
          <w:i w:val="false"/>
          <w:color w:val="000000"/>
          <w:sz w:val="28"/>
        </w:rPr>
        <w:t>
      1) выполнение аудиторского задания одним членом группы государственного аудита;</w:t>
      </w:r>
    </w:p>
    <w:bookmarkEnd w:id="33"/>
    <w:bookmarkStart w:name="z44" w:id="34"/>
    <w:p>
      <w:pPr>
        <w:spacing w:after="0"/>
        <w:ind w:left="0"/>
        <w:jc w:val="both"/>
      </w:pPr>
      <w:r>
        <w:rPr>
          <w:rFonts w:ascii="Times New Roman"/>
          <w:b w:val="false"/>
          <w:i w:val="false"/>
          <w:color w:val="000000"/>
          <w:sz w:val="28"/>
        </w:rPr>
        <w:t>
      2) выполнение аудиторского задания одним членом группы государственного аудита при участии эксперта (экспертов).";</w:t>
      </w:r>
    </w:p>
    <w:bookmarkEnd w:id="34"/>
    <w:bookmarkStart w:name="z45" w:id="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параграф 6</w:t>
      </w:r>
      <w:r>
        <w:rPr>
          <w:rFonts w:ascii="Times New Roman"/>
          <w:b w:val="false"/>
          <w:i w:val="false"/>
          <w:color w:val="000000"/>
          <w:sz w:val="28"/>
        </w:rPr>
        <w:t xml:space="preserve"> дополнить пункт 60-1 следующего содержания:</w:t>
      </w:r>
    </w:p>
    <w:bookmarkEnd w:id="35"/>
    <w:bookmarkStart w:name="z46" w:id="36"/>
    <w:p>
      <w:pPr>
        <w:spacing w:after="0"/>
        <w:ind w:left="0"/>
        <w:jc w:val="both"/>
      </w:pPr>
      <w:r>
        <w:rPr>
          <w:rFonts w:ascii="Times New Roman"/>
          <w:b w:val="false"/>
          <w:i w:val="false"/>
          <w:color w:val="000000"/>
          <w:sz w:val="28"/>
        </w:rPr>
        <w:t>
      "60-1. Аудиторские процедуры на основном этапе аудиторского мероприятия – это действия, которые выполняет аудитор для получения, сбора и подтверждения аудиторских доказательств. Аудиторские процедуры проводятся с целью подтверждения достоверности информации (сведений) на основании выбранных методов сбора аудиторских доказательств (проверка документов, инвентаризация, контрольный обмер, запросы и подтверждения, пересчҰт, наблюдение и другие). В рамках аудиторских процедур проводятся аналитические процедуры с целью подтверждения обоснованности и достоверности данных, показателей или информации (сравнение показателей за разные годы, анализ или оценка отклонений (план/факт), расчет коэффициентов и другие) и формирования выводов.";</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61</w:t>
      </w:r>
      <w:r>
        <w:rPr>
          <w:rFonts w:ascii="Times New Roman"/>
          <w:b w:val="false"/>
          <w:i w:val="false"/>
          <w:color w:val="000000"/>
          <w:sz w:val="28"/>
        </w:rPr>
        <w:t xml:space="preserve"> изложить в следующей редакции:</w:t>
      </w:r>
    </w:p>
    <w:bookmarkStart w:name="z48" w:id="37"/>
    <w:p>
      <w:pPr>
        <w:spacing w:after="0"/>
        <w:ind w:left="0"/>
        <w:jc w:val="both"/>
      </w:pPr>
      <w:r>
        <w:rPr>
          <w:rFonts w:ascii="Times New Roman"/>
          <w:b w:val="false"/>
          <w:i w:val="false"/>
          <w:color w:val="000000"/>
          <w:sz w:val="28"/>
        </w:rPr>
        <w:t>
      "61. Государственные аудиторы на этапе проведения аудиторского мероприятия обеспечивают соответствие аудиторских доказательств требованиям, предусмотренным в Контрольном листе оценки качества аудиторских доказательств. Руководитель группы аудита эффективности по итогам оценки собранных аудиторских доказательств заполняет Контрольный лист оценки качества аудиторских доказательств по форме согласно приложению 5-1 к настоящему Стандарту.";</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74 изложить в следующей редакции:</w:t>
      </w:r>
    </w:p>
    <w:bookmarkStart w:name="z50" w:id="38"/>
    <w:p>
      <w:pPr>
        <w:spacing w:after="0"/>
        <w:ind w:left="0"/>
        <w:jc w:val="both"/>
      </w:pPr>
      <w:r>
        <w:rPr>
          <w:rFonts w:ascii="Times New Roman"/>
          <w:b w:val="false"/>
          <w:i w:val="false"/>
          <w:color w:val="000000"/>
          <w:sz w:val="28"/>
        </w:rPr>
        <w:t>
      "1) связь между вопросами, критериями, масштабом государственного аудита, оценкой рисков, Программой аудита на проведение аудиторского мероприятия, Аудиторскими заданиями, сроками, объемом и результатами выполненных аудиторских процедур;";</w:t>
      </w:r>
    </w:p>
    <w:bookmarkEnd w:id="38"/>
    <w:bookmarkStart w:name="z51" w:id="39"/>
    <w:p>
      <w:pPr>
        <w:spacing w:after="0"/>
        <w:ind w:left="0"/>
        <w:jc w:val="both"/>
      </w:pPr>
      <w:r>
        <w:rPr>
          <w:rFonts w:ascii="Times New Roman"/>
          <w:b w:val="false"/>
          <w:i w:val="false"/>
          <w:color w:val="000000"/>
          <w:sz w:val="28"/>
        </w:rPr>
        <w:t>
      дополнить пунктами 76-1 и 76-2 следующего содержания:</w:t>
      </w:r>
    </w:p>
    <w:bookmarkEnd w:id="39"/>
    <w:bookmarkStart w:name="z52" w:id="40"/>
    <w:p>
      <w:pPr>
        <w:spacing w:after="0"/>
        <w:ind w:left="0"/>
        <w:jc w:val="both"/>
      </w:pPr>
      <w:r>
        <w:rPr>
          <w:rFonts w:ascii="Times New Roman"/>
          <w:b w:val="false"/>
          <w:i w:val="false"/>
          <w:color w:val="000000"/>
          <w:sz w:val="28"/>
        </w:rPr>
        <w:t xml:space="preserve">
      "76-1. При проведении аудита эффективности проверяется не только эффективное использование объектом государственного аудита ресурсов (финансовых, материальных и трудовых) и достигнутые им конечные результаты, но и влияние их (или возникшие значимые изменения) на соответствующую сферу (область, направление) деятельности, потребности выгодоприобретателей после получения (реализации) конечных результатов. </w:t>
      </w:r>
    </w:p>
    <w:bookmarkEnd w:id="40"/>
    <w:bookmarkStart w:name="z53" w:id="41"/>
    <w:p>
      <w:pPr>
        <w:spacing w:after="0"/>
        <w:ind w:left="0"/>
        <w:jc w:val="both"/>
      </w:pPr>
      <w:r>
        <w:rPr>
          <w:rFonts w:ascii="Times New Roman"/>
          <w:b w:val="false"/>
          <w:i w:val="false"/>
          <w:color w:val="000000"/>
          <w:sz w:val="28"/>
        </w:rPr>
        <w:t>
      76-2. При аудите эффективности оцениваются не только факты обнаруженных нарушений, повлекших за собой недостижение результатов и (или) увеличение затрат ресурсов, но и определяются упущенные объектом государственного аудита возможности, альтернативы и выгоды (требующие от государственного аудитора проведения большего числа аудиторских процедур с применением различных методов анализа и сбора доказательств). Изучаются причины, приведшие к упущенным возможностям, альтернативам и выгоде и оцениваются при наличии проблемы (имеет ли системный или индивидуальный характер) в отрасли, законодательстве, организации деятельности объекта государственного аудита.";</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82</w:t>
      </w:r>
      <w:r>
        <w:rPr>
          <w:rFonts w:ascii="Times New Roman"/>
          <w:b w:val="false"/>
          <w:i w:val="false"/>
          <w:color w:val="000000"/>
          <w:sz w:val="28"/>
        </w:rPr>
        <w:t xml:space="preserve"> изложить в следующей редакции:</w:t>
      </w:r>
    </w:p>
    <w:bookmarkStart w:name="z55" w:id="42"/>
    <w:p>
      <w:pPr>
        <w:spacing w:after="0"/>
        <w:ind w:left="0"/>
        <w:jc w:val="both"/>
      </w:pPr>
      <w:r>
        <w:rPr>
          <w:rFonts w:ascii="Times New Roman"/>
          <w:b w:val="false"/>
          <w:i w:val="false"/>
          <w:color w:val="000000"/>
          <w:sz w:val="28"/>
        </w:rPr>
        <w:t>
      "82. Итоги аудита эффективности, предусмотренные в аудиторском заключении, реализуются посредством:</w:t>
      </w:r>
    </w:p>
    <w:bookmarkEnd w:id="42"/>
    <w:bookmarkStart w:name="z56" w:id="43"/>
    <w:p>
      <w:pPr>
        <w:spacing w:after="0"/>
        <w:ind w:left="0"/>
        <w:jc w:val="both"/>
      </w:pPr>
      <w:r>
        <w:rPr>
          <w:rFonts w:ascii="Times New Roman"/>
          <w:b w:val="false"/>
          <w:i w:val="false"/>
          <w:color w:val="000000"/>
          <w:sz w:val="28"/>
        </w:rPr>
        <w:t>
      1) осуществления на постоянной и системной основе мероприятий, предусмотренных в Правилах, структурным подразделением, ответственным за проведение контроля качества (структурное подразделение, определенное регламентом Ревизионной комиссии), совместно с членом Высшей аудиторской палаты Республики Казахстан или Ревизионной комиссии, ответственным за контроль исполнения данных в аудиторском заключении рекомендаций, и направленных для обязательного исполнения предписаний;</w:t>
      </w:r>
    </w:p>
    <w:bookmarkEnd w:id="43"/>
    <w:bookmarkStart w:name="z57" w:id="44"/>
    <w:p>
      <w:pPr>
        <w:spacing w:after="0"/>
        <w:ind w:left="0"/>
        <w:jc w:val="both"/>
      </w:pPr>
      <w:r>
        <w:rPr>
          <w:rFonts w:ascii="Times New Roman"/>
          <w:b w:val="false"/>
          <w:i w:val="false"/>
          <w:color w:val="000000"/>
          <w:sz w:val="28"/>
        </w:rPr>
        <w:t>
      2) включения в Программу аудита эффективности и Аудиторские задания другого аудиторского мероприятия аудиторских и аналитических процедур по проверке выполнения объектом государственного аудита рекомендаций;</w:t>
      </w:r>
    </w:p>
    <w:bookmarkEnd w:id="44"/>
    <w:bookmarkStart w:name="z58" w:id="45"/>
    <w:p>
      <w:pPr>
        <w:spacing w:after="0"/>
        <w:ind w:left="0"/>
        <w:jc w:val="both"/>
      </w:pPr>
      <w:r>
        <w:rPr>
          <w:rFonts w:ascii="Times New Roman"/>
          <w:b w:val="false"/>
          <w:i w:val="false"/>
          <w:color w:val="000000"/>
          <w:sz w:val="28"/>
        </w:rPr>
        <w:t xml:space="preserve">
      3) проведения аудиторского мероприятия по сбору аудиторских доказательств с целью подтверждения надлежащего выполнения объектом государственного аудита рекомендаций."; </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нормативному постановлению;</w:t>
      </w:r>
    </w:p>
    <w:bookmarkStart w:name="z60" w:id="46"/>
    <w:p>
      <w:pPr>
        <w:spacing w:after="0"/>
        <w:ind w:left="0"/>
        <w:jc w:val="both"/>
      </w:pPr>
      <w:r>
        <w:rPr>
          <w:rFonts w:ascii="Times New Roman"/>
          <w:b w:val="false"/>
          <w:i w:val="false"/>
          <w:color w:val="000000"/>
          <w:sz w:val="28"/>
        </w:rPr>
        <w:t xml:space="preserve">
      дополнить приложением 5-1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нормативному постановлению.</w:t>
      </w:r>
    </w:p>
    <w:bookmarkEnd w:id="46"/>
    <w:bookmarkStart w:name="z61" w:id="47"/>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Счетного комитета по контролю за исполнением республиканского бюджета от 30 июля 2020 года № 6-НҚ "Об утверждении Правил проведения внешнего государственного аудита и финансового контроля" (зарегистрировано в Реестре государственной регистрации нормативных правовых актов № 21070) следующее изменение:</w:t>
      </w:r>
    </w:p>
    <w:bookmarkEnd w:id="47"/>
    <w:bookmarkStart w:name="z62" w:id="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внешнего государственного аудита и финансового контроля, утвержденных указанным нормативным постановлением:</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нормативному постановлению.</w:t>
      </w:r>
    </w:p>
    <w:bookmarkStart w:name="z64" w:id="49"/>
    <w:p>
      <w:pPr>
        <w:spacing w:after="0"/>
        <w:ind w:left="0"/>
        <w:jc w:val="both"/>
      </w:pPr>
      <w:r>
        <w:rPr>
          <w:rFonts w:ascii="Times New Roman"/>
          <w:b w:val="false"/>
          <w:i w:val="false"/>
          <w:color w:val="000000"/>
          <w:sz w:val="28"/>
        </w:rPr>
        <w:t>
      3. Департаменту планирования, сертификации и методологии аппарата Высшей аудиторской палаты в установленном законодательством порядке обеспечить:</w:t>
      </w:r>
    </w:p>
    <w:bookmarkEnd w:id="49"/>
    <w:bookmarkStart w:name="z65" w:id="50"/>
    <w:p>
      <w:pPr>
        <w:spacing w:after="0"/>
        <w:ind w:left="0"/>
        <w:jc w:val="both"/>
      </w:pPr>
      <w:r>
        <w:rPr>
          <w:rFonts w:ascii="Times New Roman"/>
          <w:b w:val="false"/>
          <w:i w:val="false"/>
          <w:color w:val="000000"/>
          <w:sz w:val="28"/>
        </w:rPr>
        <w:t>
      1) государственную регистрацию настоящего нормативного постановления в Министерстве юстиции Республики Казахстан;</w:t>
      </w:r>
    </w:p>
    <w:bookmarkEnd w:id="50"/>
    <w:bookmarkStart w:name="z66" w:id="51"/>
    <w:p>
      <w:pPr>
        <w:spacing w:after="0"/>
        <w:ind w:left="0"/>
        <w:jc w:val="both"/>
      </w:pPr>
      <w:r>
        <w:rPr>
          <w:rFonts w:ascii="Times New Roman"/>
          <w:b w:val="false"/>
          <w:i w:val="false"/>
          <w:color w:val="000000"/>
          <w:sz w:val="28"/>
        </w:rPr>
        <w:t>
      2) размещение настоящего нормативного постановления на интернет-ресурсе Высшей аудиторской палаты.</w:t>
      </w:r>
    </w:p>
    <w:bookmarkEnd w:id="51"/>
    <w:bookmarkStart w:name="z67" w:id="52"/>
    <w:p>
      <w:pPr>
        <w:spacing w:after="0"/>
        <w:ind w:left="0"/>
        <w:jc w:val="both"/>
      </w:pPr>
      <w:r>
        <w:rPr>
          <w:rFonts w:ascii="Times New Roman"/>
          <w:b w:val="false"/>
          <w:i w:val="false"/>
          <w:color w:val="000000"/>
          <w:sz w:val="28"/>
        </w:rPr>
        <w:t>
      4. Контроль за исполнением настоящего нормативного постановления возложить на руководителя аппарата Высшей аудиторской палаты.</w:t>
      </w:r>
    </w:p>
    <w:bookmarkEnd w:id="52"/>
    <w:bookmarkStart w:name="z68" w:id="53"/>
    <w:p>
      <w:pPr>
        <w:spacing w:after="0"/>
        <w:ind w:left="0"/>
        <w:jc w:val="both"/>
      </w:pPr>
      <w:r>
        <w:rPr>
          <w:rFonts w:ascii="Times New Roman"/>
          <w:b w:val="false"/>
          <w:i w:val="false"/>
          <w:color w:val="000000"/>
          <w:sz w:val="28"/>
        </w:rPr>
        <w:t>
      5. Настоящее нормативное постановление вводится в действие после дня его первого официального опубликования.</w:t>
      </w:r>
    </w:p>
    <w:bookmarkEnd w:id="5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Высшей аудиторской палаты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нормативному</w:t>
            </w:r>
            <w:r>
              <w:br/>
            </w:r>
            <w:r>
              <w:rPr>
                <w:rFonts w:ascii="Times New Roman"/>
                <w:b w:val="false"/>
                <w:i w:val="false"/>
                <w:color w:val="000000"/>
                <w:sz w:val="20"/>
              </w:rPr>
              <w:t>постановлению Высшей</w:t>
            </w:r>
            <w:r>
              <w:br/>
            </w:r>
            <w:r>
              <w:rPr>
                <w:rFonts w:ascii="Times New Roman"/>
                <w:b w:val="false"/>
                <w:i w:val="false"/>
                <w:color w:val="000000"/>
                <w:sz w:val="20"/>
              </w:rPr>
              <w:t>аудиторской палаты</w:t>
            </w:r>
            <w:r>
              <w:br/>
            </w:r>
            <w:r>
              <w:rPr>
                <w:rFonts w:ascii="Times New Roman"/>
                <w:b w:val="false"/>
                <w:i w:val="false"/>
                <w:color w:val="000000"/>
                <w:sz w:val="20"/>
              </w:rPr>
              <w:t>Республики Казахстан</w:t>
            </w:r>
            <w:r>
              <w:br/>
            </w:r>
            <w:r>
              <w:rPr>
                <w:rFonts w:ascii="Times New Roman"/>
                <w:b w:val="false"/>
                <w:i w:val="false"/>
                <w:color w:val="000000"/>
                <w:sz w:val="20"/>
              </w:rPr>
              <w:t>от 7 сентября 2026 года</w:t>
            </w:r>
            <w:r>
              <w:br/>
            </w:r>
            <w:r>
              <w:rPr>
                <w:rFonts w:ascii="Times New Roman"/>
                <w:b w:val="false"/>
                <w:i w:val="false"/>
                <w:color w:val="000000"/>
                <w:sz w:val="20"/>
              </w:rPr>
              <w:t>№ 13-НҚ</w:t>
            </w:r>
            <w:r>
              <w:br/>
            </w:r>
            <w:r>
              <w:rPr>
                <w:rFonts w:ascii="Times New Roman"/>
                <w:b w:val="false"/>
                <w:i w:val="false"/>
                <w:color w:val="000000"/>
                <w:sz w:val="20"/>
              </w:rPr>
              <w:t>Приложение 5</w:t>
            </w:r>
            <w:r>
              <w:br/>
            </w:r>
            <w:r>
              <w:rPr>
                <w:rFonts w:ascii="Times New Roman"/>
                <w:b w:val="false"/>
                <w:i w:val="false"/>
                <w:color w:val="000000"/>
                <w:sz w:val="20"/>
              </w:rPr>
              <w:t>к Процедурному стандарту</w:t>
            </w:r>
            <w:r>
              <w:br/>
            </w:r>
            <w:r>
              <w:rPr>
                <w:rFonts w:ascii="Times New Roman"/>
                <w:b w:val="false"/>
                <w:i w:val="false"/>
                <w:color w:val="000000"/>
                <w:sz w:val="20"/>
              </w:rPr>
              <w:t>внешнего государственного</w:t>
            </w:r>
            <w:r>
              <w:br/>
            </w:r>
            <w:r>
              <w:rPr>
                <w:rFonts w:ascii="Times New Roman"/>
                <w:b w:val="false"/>
                <w:i w:val="false"/>
                <w:color w:val="000000"/>
                <w:sz w:val="20"/>
              </w:rPr>
              <w:t>аудита и финансового контроля</w:t>
            </w:r>
            <w:r>
              <w:br/>
            </w:r>
            <w:r>
              <w:rPr>
                <w:rFonts w:ascii="Times New Roman"/>
                <w:b w:val="false"/>
                <w:i w:val="false"/>
                <w:color w:val="000000"/>
                <w:sz w:val="20"/>
              </w:rPr>
              <w:t>по проведению аудита</w:t>
            </w:r>
            <w:r>
              <w:br/>
            </w:r>
            <w:r>
              <w:rPr>
                <w:rFonts w:ascii="Times New Roman"/>
                <w:b w:val="false"/>
                <w:i w:val="false"/>
                <w:color w:val="000000"/>
                <w:sz w:val="20"/>
              </w:rPr>
              <w:t>эффективности</w:t>
            </w:r>
          </w:p>
        </w:tc>
      </w:tr>
    </w:tbl>
    <w:bookmarkStart w:name="z71" w:id="54"/>
    <w:p>
      <w:pPr>
        <w:spacing w:after="0"/>
        <w:ind w:left="0"/>
        <w:jc w:val="left"/>
      </w:pPr>
      <w:r>
        <w:rPr>
          <w:rFonts w:ascii="Times New Roman"/>
          <w:b/>
          <w:i w:val="false"/>
          <w:color w:val="000000"/>
        </w:rPr>
        <w:t xml:space="preserve"> Проектная матрица аудиторского мероприятия</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 аудита эффективности:</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аудита эффективности:</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Подцель аудита эффективности (в случае необходимости):</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Аудиторский вопрос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сбора информации (доказательства)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Ожидаемое заключение/ исполнение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Аудиторский вопрос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сбора информации (доказательства)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Ожидаемое заключение/ исполнение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Аудиторский вопрос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сбора информации (доказательства)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Ожидаемое заключение/ исполнение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 w:id="55"/>
    <w:p>
      <w:pPr>
        <w:spacing w:after="0"/>
        <w:ind w:left="0"/>
        <w:jc w:val="both"/>
      </w:pPr>
      <w:r>
        <w:rPr>
          <w:rFonts w:ascii="Times New Roman"/>
          <w:b w:val="false"/>
          <w:i w:val="false"/>
          <w:color w:val="000000"/>
          <w:sz w:val="28"/>
        </w:rPr>
        <w:t xml:space="preserve">
      Член (члены) группы государственного аудита </w:t>
      </w:r>
    </w:p>
    <w:bookmarkEnd w:id="55"/>
    <w:bookmarkStart w:name="z73" w:id="56"/>
    <w:p>
      <w:pPr>
        <w:spacing w:after="0"/>
        <w:ind w:left="0"/>
        <w:jc w:val="both"/>
      </w:pPr>
      <w:r>
        <w:rPr>
          <w:rFonts w:ascii="Times New Roman"/>
          <w:b w:val="false"/>
          <w:i w:val="false"/>
          <w:color w:val="000000"/>
          <w:sz w:val="28"/>
        </w:rPr>
        <w:t>
      _______________________________________</w:t>
      </w:r>
    </w:p>
    <w:bookmarkEnd w:id="56"/>
    <w:bookmarkStart w:name="z74" w:id="57"/>
    <w:p>
      <w:pPr>
        <w:spacing w:after="0"/>
        <w:ind w:left="0"/>
        <w:jc w:val="both"/>
      </w:pPr>
      <w:r>
        <w:rPr>
          <w:rFonts w:ascii="Times New Roman"/>
          <w:b w:val="false"/>
          <w:i w:val="false"/>
          <w:color w:val="000000"/>
          <w:sz w:val="28"/>
        </w:rPr>
        <w:t xml:space="preserve">
       (подпись, ФИО (при его наличии) </w:t>
      </w:r>
    </w:p>
    <w:bookmarkEnd w:id="57"/>
    <w:bookmarkStart w:name="z75" w:id="58"/>
    <w:p>
      <w:pPr>
        <w:spacing w:after="0"/>
        <w:ind w:left="0"/>
        <w:jc w:val="both"/>
      </w:pPr>
      <w:r>
        <w:rPr>
          <w:rFonts w:ascii="Times New Roman"/>
          <w:b w:val="false"/>
          <w:i w:val="false"/>
          <w:color w:val="000000"/>
          <w:sz w:val="28"/>
        </w:rPr>
        <w:t xml:space="preserve">
      Руководитель группы аудита эффективности </w:t>
      </w:r>
    </w:p>
    <w:bookmarkEnd w:id="58"/>
    <w:bookmarkStart w:name="z76" w:id="59"/>
    <w:p>
      <w:pPr>
        <w:spacing w:after="0"/>
        <w:ind w:left="0"/>
        <w:jc w:val="both"/>
      </w:pPr>
      <w:r>
        <w:rPr>
          <w:rFonts w:ascii="Times New Roman"/>
          <w:b w:val="false"/>
          <w:i w:val="false"/>
          <w:color w:val="000000"/>
          <w:sz w:val="28"/>
        </w:rPr>
        <w:t xml:space="preserve">
      _______________________________________ </w:t>
      </w:r>
    </w:p>
    <w:bookmarkEnd w:id="59"/>
    <w:bookmarkStart w:name="z77" w:id="60"/>
    <w:p>
      <w:pPr>
        <w:spacing w:after="0"/>
        <w:ind w:left="0"/>
        <w:jc w:val="both"/>
      </w:pPr>
      <w:r>
        <w:rPr>
          <w:rFonts w:ascii="Times New Roman"/>
          <w:b w:val="false"/>
          <w:i w:val="false"/>
          <w:color w:val="000000"/>
          <w:sz w:val="28"/>
        </w:rPr>
        <w:t>
      (подпись, ФИО (при его наличии)</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нормативному постановлению</w:t>
            </w:r>
            <w:r>
              <w:br/>
            </w:r>
            <w:r>
              <w:rPr>
                <w:rFonts w:ascii="Times New Roman"/>
                <w:b w:val="false"/>
                <w:i w:val="false"/>
                <w:color w:val="000000"/>
                <w:sz w:val="20"/>
              </w:rPr>
              <w:t>Высшей аудиторской палаты</w:t>
            </w:r>
            <w:r>
              <w:br/>
            </w:r>
            <w:r>
              <w:rPr>
                <w:rFonts w:ascii="Times New Roman"/>
                <w:b w:val="false"/>
                <w:i w:val="false"/>
                <w:color w:val="000000"/>
                <w:sz w:val="20"/>
              </w:rPr>
              <w:t>Республики Казахстан</w:t>
            </w:r>
            <w:r>
              <w:br/>
            </w:r>
            <w:r>
              <w:rPr>
                <w:rFonts w:ascii="Times New Roman"/>
                <w:b w:val="false"/>
                <w:i w:val="false"/>
                <w:color w:val="000000"/>
                <w:sz w:val="20"/>
              </w:rPr>
              <w:t>от 7 сентября 2026 года</w:t>
            </w:r>
            <w:r>
              <w:br/>
            </w:r>
            <w:r>
              <w:rPr>
                <w:rFonts w:ascii="Times New Roman"/>
                <w:b w:val="false"/>
                <w:i w:val="false"/>
                <w:color w:val="000000"/>
                <w:sz w:val="20"/>
              </w:rPr>
              <w:t>№ 13-НҚ</w:t>
            </w:r>
            <w:r>
              <w:br/>
            </w:r>
            <w:r>
              <w:rPr>
                <w:rFonts w:ascii="Times New Roman"/>
                <w:b w:val="false"/>
                <w:i w:val="false"/>
                <w:color w:val="000000"/>
                <w:sz w:val="20"/>
              </w:rPr>
              <w:t>Приложение 5-1</w:t>
            </w:r>
            <w:r>
              <w:br/>
            </w:r>
            <w:r>
              <w:rPr>
                <w:rFonts w:ascii="Times New Roman"/>
                <w:b w:val="false"/>
                <w:i w:val="false"/>
                <w:color w:val="000000"/>
                <w:sz w:val="20"/>
              </w:rPr>
              <w:t>к Процедурному стандарту</w:t>
            </w:r>
            <w:r>
              <w:br/>
            </w:r>
            <w:r>
              <w:rPr>
                <w:rFonts w:ascii="Times New Roman"/>
                <w:b w:val="false"/>
                <w:i w:val="false"/>
                <w:color w:val="000000"/>
                <w:sz w:val="20"/>
              </w:rPr>
              <w:t>внешнего государственного</w:t>
            </w:r>
            <w:r>
              <w:br/>
            </w:r>
            <w:r>
              <w:rPr>
                <w:rFonts w:ascii="Times New Roman"/>
                <w:b w:val="false"/>
                <w:i w:val="false"/>
                <w:color w:val="000000"/>
                <w:sz w:val="20"/>
              </w:rPr>
              <w:t>аудита и финансового контроля</w:t>
            </w:r>
            <w:r>
              <w:br/>
            </w:r>
            <w:r>
              <w:rPr>
                <w:rFonts w:ascii="Times New Roman"/>
                <w:b w:val="false"/>
                <w:i w:val="false"/>
                <w:color w:val="000000"/>
                <w:sz w:val="20"/>
              </w:rPr>
              <w:t>по проведению аудита</w:t>
            </w:r>
            <w:r>
              <w:br/>
            </w:r>
            <w:r>
              <w:rPr>
                <w:rFonts w:ascii="Times New Roman"/>
                <w:b w:val="false"/>
                <w:i w:val="false"/>
                <w:color w:val="000000"/>
                <w:sz w:val="20"/>
              </w:rPr>
              <w:t>эффективности</w:t>
            </w:r>
            <w:r>
              <w:br/>
            </w:r>
            <w:r>
              <w:rPr>
                <w:rFonts w:ascii="Times New Roman"/>
                <w:b w:val="false"/>
                <w:i w:val="false"/>
                <w:color w:val="000000"/>
                <w:sz w:val="20"/>
              </w:rPr>
              <w:t>форма</w:t>
            </w:r>
          </w:p>
        </w:tc>
      </w:tr>
    </w:tbl>
    <w:bookmarkStart w:name="z79" w:id="61"/>
    <w:p>
      <w:pPr>
        <w:spacing w:after="0"/>
        <w:ind w:left="0"/>
        <w:jc w:val="left"/>
      </w:pPr>
      <w:r>
        <w:rPr>
          <w:rFonts w:ascii="Times New Roman"/>
          <w:b/>
          <w:i w:val="false"/>
          <w:color w:val="000000"/>
        </w:rPr>
        <w:t xml:space="preserve"> Контрольный лист оценки качества аудиторских доказательств</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 "Да"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 "Нет"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Пояснения (примечания)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Были ли собраны аудиторские доказательства в отношении всех аудиторских вопросов и (или) использованных показателей аудита?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Были ли собранные аудиторские доказательства оценены на предмет соответствия требованиям по: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приемлемости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обоснованности (аргументированности)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Были ли проведены процедуры по определению потребности в сборе дополнительных аудиторских доказательств?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да, то были ли проведены процедуры по сбору дополнительных аудиторских доказательств надлежащим образом?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Проводились ли консультации с экспертами в части соответствия собранных аудиторских доказательств требованиям (пункты 2.1.-2.4.)?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да, то были ли получены подтверждения от экспертов в части обоснованности использованных аудиторских доказательств?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Проводились ли обсуждения с представителями объекта государственного аудита по собранным аудиторским доказательствам?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да, то были ли получены подтверждения от представителей объекта государственного аудита в части обоснованности использованных аудиторских доказательств?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 w:id="62"/>
    <w:p>
      <w:pPr>
        <w:spacing w:after="0"/>
        <w:ind w:left="0"/>
        <w:jc w:val="both"/>
      </w:pPr>
      <w:r>
        <w:rPr>
          <w:rFonts w:ascii="Times New Roman"/>
          <w:b w:val="false"/>
          <w:i w:val="false"/>
          <w:color w:val="000000"/>
          <w:sz w:val="28"/>
        </w:rPr>
        <w:t>
      Руководитель группы аудита эффективности</w:t>
      </w:r>
    </w:p>
    <w:bookmarkEnd w:id="62"/>
    <w:bookmarkStart w:name="z81" w:id="63"/>
    <w:p>
      <w:pPr>
        <w:spacing w:after="0"/>
        <w:ind w:left="0"/>
        <w:jc w:val="both"/>
      </w:pPr>
      <w:r>
        <w:rPr>
          <w:rFonts w:ascii="Times New Roman"/>
          <w:b w:val="false"/>
          <w:i w:val="false"/>
          <w:color w:val="000000"/>
          <w:sz w:val="28"/>
        </w:rPr>
        <w:t>
      ________________________</w:t>
      </w:r>
    </w:p>
    <w:bookmarkEnd w:id="63"/>
    <w:bookmarkStart w:name="z82" w:id="64"/>
    <w:p>
      <w:pPr>
        <w:spacing w:after="0"/>
        <w:ind w:left="0"/>
        <w:jc w:val="both"/>
      </w:pPr>
      <w:r>
        <w:rPr>
          <w:rFonts w:ascii="Times New Roman"/>
          <w:b w:val="false"/>
          <w:i w:val="false"/>
          <w:color w:val="000000"/>
          <w:sz w:val="28"/>
        </w:rPr>
        <w:t>
      (подпись, ФИО (при его наличии)</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нормативному постановлению</w:t>
            </w:r>
            <w:r>
              <w:br/>
            </w:r>
            <w:r>
              <w:rPr>
                <w:rFonts w:ascii="Times New Roman"/>
                <w:b w:val="false"/>
                <w:i w:val="false"/>
                <w:color w:val="000000"/>
                <w:sz w:val="20"/>
              </w:rPr>
              <w:t>Высшей аудиторской палаты</w:t>
            </w:r>
            <w:r>
              <w:br/>
            </w:r>
            <w:r>
              <w:rPr>
                <w:rFonts w:ascii="Times New Roman"/>
                <w:b w:val="false"/>
                <w:i w:val="false"/>
                <w:color w:val="000000"/>
                <w:sz w:val="20"/>
              </w:rPr>
              <w:t>Республики Казахстан</w:t>
            </w:r>
            <w:r>
              <w:br/>
            </w:r>
            <w:r>
              <w:rPr>
                <w:rFonts w:ascii="Times New Roman"/>
                <w:b w:val="false"/>
                <w:i w:val="false"/>
                <w:color w:val="000000"/>
                <w:sz w:val="20"/>
              </w:rPr>
              <w:t>от 7 сентября 2026 года</w:t>
            </w:r>
            <w:r>
              <w:br/>
            </w:r>
            <w:r>
              <w:rPr>
                <w:rFonts w:ascii="Times New Roman"/>
                <w:b w:val="false"/>
                <w:i w:val="false"/>
                <w:color w:val="000000"/>
                <w:sz w:val="20"/>
              </w:rPr>
              <w:t>№ 13-НҚ</w:t>
            </w:r>
            <w:r>
              <w:br/>
            </w:r>
            <w:r>
              <w:rPr>
                <w:rFonts w:ascii="Times New Roman"/>
                <w:b w:val="false"/>
                <w:i w:val="false"/>
                <w:color w:val="000000"/>
                <w:sz w:val="20"/>
              </w:rPr>
              <w:t>Приложение 2</w:t>
            </w:r>
            <w:r>
              <w:br/>
            </w:r>
            <w:r>
              <w:rPr>
                <w:rFonts w:ascii="Times New Roman"/>
                <w:b w:val="false"/>
                <w:i w:val="false"/>
                <w:color w:val="000000"/>
                <w:sz w:val="20"/>
              </w:rPr>
              <w:t>к Правилам проведения</w:t>
            </w:r>
            <w:r>
              <w:br/>
            </w:r>
            <w:r>
              <w:rPr>
                <w:rFonts w:ascii="Times New Roman"/>
                <w:b w:val="false"/>
                <w:i w:val="false"/>
                <w:color w:val="000000"/>
                <w:sz w:val="20"/>
              </w:rPr>
              <w:t>внешнего государственного</w:t>
            </w:r>
            <w:r>
              <w:br/>
            </w:r>
            <w:r>
              <w:rPr>
                <w:rFonts w:ascii="Times New Roman"/>
                <w:b w:val="false"/>
                <w:i w:val="false"/>
                <w:color w:val="000000"/>
                <w:sz w:val="20"/>
              </w:rPr>
              <w:t>аудита и финансового контроля</w:t>
            </w:r>
          </w:p>
        </w:tc>
      </w:tr>
    </w:tbl>
    <w:bookmarkStart w:name="z84" w:id="65"/>
    <w:p>
      <w:pPr>
        <w:spacing w:after="0"/>
        <w:ind w:left="0"/>
        <w:jc w:val="left"/>
      </w:pPr>
      <w:r>
        <w:rPr>
          <w:rFonts w:ascii="Times New Roman"/>
          <w:b/>
          <w:i w:val="false"/>
          <w:color w:val="000000"/>
        </w:rPr>
        <w:t xml:space="preserve"> Заявка на проведение аудиторского мероприятия</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гос. аудита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гос. аудита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проверки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наименование аудиторского мероприятия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риска (выс., сред., низ.)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администратора бюджетной программы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БП, БПП, активы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 w:id="66"/>
    <w:p>
      <w:pPr>
        <w:spacing w:after="0"/>
        <w:ind w:left="0"/>
        <w:jc w:val="both"/>
      </w:pPr>
      <w:r>
        <w:rPr>
          <w:rFonts w:ascii="Times New Roman"/>
          <w:b w:val="false"/>
          <w:i w:val="false"/>
          <w:color w:val="000000"/>
          <w:sz w:val="28"/>
        </w:rPr>
        <w:t>
      Продолжение таблицы</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 по планируемым суммам охвата аудиторским мероприятием (в разрезе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охвата аудиторским мероприятием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по аудиторскому мероприятию (календарные даты)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в привлечении ассистентов гос. аудитора, экспертов (гос. аудиторов в ходе проведения аудиторского мероприятия)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этап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этап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Заключительный этап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6" w:id="67"/>
    <w:p>
      <w:pPr>
        <w:spacing w:after="0"/>
        <w:ind w:left="0"/>
        <w:jc w:val="both"/>
      </w:pPr>
      <w:r>
        <w:rPr>
          <w:rFonts w:ascii="Times New Roman"/>
          <w:b w:val="false"/>
          <w:i w:val="false"/>
          <w:color w:val="000000"/>
          <w:sz w:val="28"/>
        </w:rPr>
        <w:t>
      Инициатор заявки:</w:t>
      </w:r>
    </w:p>
    <w:bookmarkEnd w:id="67"/>
    <w:bookmarkStart w:name="z87" w:id="68"/>
    <w:p>
      <w:pPr>
        <w:spacing w:after="0"/>
        <w:ind w:left="0"/>
        <w:jc w:val="both"/>
      </w:pPr>
      <w:r>
        <w:rPr>
          <w:rFonts w:ascii="Times New Roman"/>
          <w:b w:val="false"/>
          <w:i w:val="false"/>
          <w:color w:val="000000"/>
          <w:sz w:val="28"/>
        </w:rPr>
        <w:t>
      _________________________________ __________ ______________</w:t>
      </w:r>
    </w:p>
    <w:bookmarkEnd w:id="68"/>
    <w:bookmarkStart w:name="z88" w:id="69"/>
    <w:p>
      <w:pPr>
        <w:spacing w:after="0"/>
        <w:ind w:left="0"/>
        <w:jc w:val="both"/>
      </w:pPr>
      <w:r>
        <w:rPr>
          <w:rFonts w:ascii="Times New Roman"/>
          <w:b w:val="false"/>
          <w:i w:val="false"/>
          <w:color w:val="000000"/>
          <w:sz w:val="28"/>
        </w:rPr>
        <w:t>
      (фамилия, имя, отчество (при наличии) (Подпись) (Дата) члена Высшей аудиторской палаты Республики Казахстан (Ревизионной комиссии)</w:t>
      </w:r>
    </w:p>
    <w:bookmarkEnd w:id="69"/>
    <w:bookmarkStart w:name="z89" w:id="70"/>
    <w:p>
      <w:pPr>
        <w:spacing w:after="0"/>
        <w:ind w:left="0"/>
        <w:jc w:val="both"/>
      </w:pPr>
      <w:r>
        <w:rPr>
          <w:rFonts w:ascii="Times New Roman"/>
          <w:b w:val="false"/>
          <w:i w:val="false"/>
          <w:color w:val="000000"/>
          <w:sz w:val="28"/>
        </w:rPr>
        <w:t>
      Обоснование: ______________________________________________</w:t>
      </w:r>
    </w:p>
    <w:bookmarkEnd w:id="70"/>
    <w:bookmarkStart w:name="z90" w:id="71"/>
    <w:p>
      <w:pPr>
        <w:spacing w:after="0"/>
        <w:ind w:left="0"/>
        <w:jc w:val="both"/>
      </w:pPr>
      <w:r>
        <w:rPr>
          <w:rFonts w:ascii="Times New Roman"/>
          <w:b w:val="false"/>
          <w:i w:val="false"/>
          <w:color w:val="000000"/>
          <w:sz w:val="28"/>
        </w:rPr>
        <w:t>
      Сведения о предыдущем аудиторском мероприятии (проверке) по данному направлению: ______________________________________________</w:t>
      </w:r>
    </w:p>
    <w:bookmarkEnd w:id="71"/>
    <w:bookmarkStart w:name="z91" w:id="72"/>
    <w:p>
      <w:pPr>
        <w:spacing w:after="0"/>
        <w:ind w:left="0"/>
        <w:jc w:val="both"/>
      </w:pPr>
      <w:r>
        <w:rPr>
          <w:rFonts w:ascii="Times New Roman"/>
          <w:b w:val="false"/>
          <w:i w:val="false"/>
          <w:color w:val="000000"/>
          <w:sz w:val="28"/>
        </w:rPr>
        <w:t>
      Примечание:</w:t>
      </w:r>
    </w:p>
    <w:bookmarkEnd w:id="72"/>
    <w:bookmarkStart w:name="z92" w:id="73"/>
    <w:p>
      <w:pPr>
        <w:spacing w:after="0"/>
        <w:ind w:left="0"/>
        <w:jc w:val="both"/>
      </w:pPr>
      <w:r>
        <w:rPr>
          <w:rFonts w:ascii="Times New Roman"/>
          <w:b w:val="false"/>
          <w:i w:val="false"/>
          <w:color w:val="000000"/>
          <w:sz w:val="28"/>
        </w:rPr>
        <w:t>
      Расшифровка аббревиатур:</w:t>
      </w:r>
    </w:p>
    <w:bookmarkEnd w:id="73"/>
    <w:bookmarkStart w:name="z93" w:id="74"/>
    <w:p>
      <w:pPr>
        <w:spacing w:after="0"/>
        <w:ind w:left="0"/>
        <w:jc w:val="both"/>
      </w:pPr>
      <w:r>
        <w:rPr>
          <w:rFonts w:ascii="Times New Roman"/>
          <w:b w:val="false"/>
          <w:i w:val="false"/>
          <w:color w:val="000000"/>
          <w:sz w:val="28"/>
        </w:rPr>
        <w:t>
      гос. аудит – государственный аудит</w:t>
      </w:r>
    </w:p>
    <w:bookmarkEnd w:id="74"/>
    <w:bookmarkStart w:name="z94" w:id="75"/>
    <w:p>
      <w:pPr>
        <w:spacing w:after="0"/>
        <w:ind w:left="0"/>
        <w:jc w:val="both"/>
      </w:pPr>
      <w:r>
        <w:rPr>
          <w:rFonts w:ascii="Times New Roman"/>
          <w:b w:val="false"/>
          <w:i w:val="false"/>
          <w:color w:val="000000"/>
          <w:sz w:val="28"/>
        </w:rPr>
        <w:t>
      выс. – высокий</w:t>
      </w:r>
    </w:p>
    <w:bookmarkEnd w:id="75"/>
    <w:bookmarkStart w:name="z95" w:id="76"/>
    <w:p>
      <w:pPr>
        <w:spacing w:after="0"/>
        <w:ind w:left="0"/>
        <w:jc w:val="both"/>
      </w:pPr>
      <w:r>
        <w:rPr>
          <w:rFonts w:ascii="Times New Roman"/>
          <w:b w:val="false"/>
          <w:i w:val="false"/>
          <w:color w:val="000000"/>
          <w:sz w:val="28"/>
        </w:rPr>
        <w:t>
      сред. – средний</w:t>
      </w:r>
    </w:p>
    <w:bookmarkEnd w:id="76"/>
    <w:bookmarkStart w:name="z96" w:id="77"/>
    <w:p>
      <w:pPr>
        <w:spacing w:after="0"/>
        <w:ind w:left="0"/>
        <w:jc w:val="both"/>
      </w:pPr>
      <w:r>
        <w:rPr>
          <w:rFonts w:ascii="Times New Roman"/>
          <w:b w:val="false"/>
          <w:i w:val="false"/>
          <w:color w:val="000000"/>
          <w:sz w:val="28"/>
        </w:rPr>
        <w:t>
      низ. – низкий</w:t>
      </w:r>
    </w:p>
    <w:bookmarkEnd w:id="77"/>
    <w:bookmarkStart w:name="z97" w:id="78"/>
    <w:p>
      <w:pPr>
        <w:spacing w:after="0"/>
        <w:ind w:left="0"/>
        <w:jc w:val="both"/>
      </w:pPr>
      <w:r>
        <w:rPr>
          <w:rFonts w:ascii="Times New Roman"/>
          <w:b w:val="false"/>
          <w:i w:val="false"/>
          <w:color w:val="000000"/>
          <w:sz w:val="28"/>
        </w:rPr>
        <w:t>
      БП – бюджетная программа</w:t>
      </w:r>
    </w:p>
    <w:bookmarkEnd w:id="78"/>
    <w:bookmarkStart w:name="z98" w:id="79"/>
    <w:p>
      <w:pPr>
        <w:spacing w:after="0"/>
        <w:ind w:left="0"/>
        <w:jc w:val="both"/>
      </w:pPr>
      <w:r>
        <w:rPr>
          <w:rFonts w:ascii="Times New Roman"/>
          <w:b w:val="false"/>
          <w:i w:val="false"/>
          <w:color w:val="000000"/>
          <w:sz w:val="28"/>
        </w:rPr>
        <w:t>
      гос. аудитор – государственный аудитор</w:t>
      </w:r>
    </w:p>
    <w:bookmarkEnd w:id="79"/>
    <w:bookmarkStart w:name="z99" w:id="80"/>
    <w:p>
      <w:pPr>
        <w:spacing w:after="0"/>
        <w:ind w:left="0"/>
        <w:jc w:val="both"/>
      </w:pPr>
      <w:r>
        <w:rPr>
          <w:rFonts w:ascii="Times New Roman"/>
          <w:b w:val="false"/>
          <w:i w:val="false"/>
          <w:color w:val="000000"/>
          <w:sz w:val="28"/>
        </w:rPr>
        <w:t>
      БПП - бюджетная подпрограмма</w:t>
      </w:r>
    </w:p>
    <w:bookmarkEnd w:id="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