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a7b29c" w14:textId="6a7b29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совместные нормативное постановление Счетного комитета по контролю за исполнением республиканского бюджета от 28 ноября 2015 года № 10-НҚ и приказ Министра финансов Республики Казахстан от 27 ноября 2015 года № 590 "Об утверждении Единых принципов и подходов к системе управления рисками, применяемых органами государственного аудита и финансового контроля"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Совместное нормативное постановление Высшей аудиторской палаты Республики Казахстан от 6 августа 2026 года № 12-НҚ и приказ Министра финансов Республики Казахстан от 6 августа 2026 года № 534. Зарегистрирован в Министерстве юстиции Республики Казахстан 31 августа 2026 года № 39758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Высшая аудиторская палата Республики Казахстан (далее – Высшая аудиторская палата) ПОСТАНОВЛЯЕТ и Министр финансов Республики Казахстан ПРИКАЗЫВАЕТ: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совместные нормативное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Счетного комитета по контролю за исполнением республиканского бюджета от 28 ноября 2015 года № 10-НҚ и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27 ноября 2015 года № 590 "Об утверждении Единых принципов и подходов к системе управления рисками, применяемых органами государственного аудита и финансового контроля" (зарегистрировано в Реестре государственной регистрации нормативных правовых актов под № 12502)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Единых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принципах и подходах к системе управления рисками, применяемых органами государственного аудита и финансового контроля, утвержденных указанным совместным нормативным постановлением и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предметы государственного аудита и финансового контроля (далее – предметы государственного аудита) – деятельность государственных органов, в том числе управление государственными финансами, концепции развития отрасли/сферы, национальные проекты, бюджетные программы, планы развития государственных органов, планы развития столицы, области, городов республиканского значения;"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третий </w:t>
      </w:r>
      <w:r>
        <w:rPr>
          <w:rFonts w:ascii="Times New Roman"/>
          <w:b w:val="false"/>
          <w:i w:val="false"/>
          <w:color w:val="000000"/>
          <w:sz w:val="28"/>
        </w:rPr>
        <w:t>пункта 20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"Второй этап – формирование реестра рисков (или матрицы-рисков для целей внутреннего государственного аудита) программных документов (концепции развития отрасли/сферы, национальные проекты, планы развития государственных органов, планы развития столицы, области, городов республиканского значения) по критериям, основанным на достижении целевых индикаторов и показателей в соответствии с программным документом и нормативными правовыми актами по его реализации."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третий </w:t>
      </w:r>
      <w:r>
        <w:rPr>
          <w:rFonts w:ascii="Times New Roman"/>
          <w:b w:val="false"/>
          <w:i w:val="false"/>
          <w:color w:val="000000"/>
          <w:sz w:val="28"/>
        </w:rPr>
        <w:t>пункта 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"Критерии рисков определяются, в том числе: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основе системы ежегодной оценки эффективности деятельности центральных государственных органов и местных исполнительных органов столицы, областей, городов республиканского значения;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наличия структурных и территориальных подразделений, подведомственных организаций;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количества бюджетных программ, бюджетных инвестиционных проектов, а также результатов их реализации.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внутреннего государственного аудита после формирования реестров рисков объектов государственного аудита формируется матрица-рисков по объектам государственного аудита."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планирования, сертификации и методологии аппарата Высшей аудиторской палаты в установленном законодательством порядке обеспечить: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совместных нормативного постановления и приказа в Министерстве юстиции Республики Казахстан;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совместных нормативного постановления и приказа на интернет-ресурсе Высшей аудиторской палаты.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настоящих совместных нормативного постановления и приказа возложить на руководителя аппарата Высшей аудиторской палаты и курирующего вице-министра финансов Республики Казахстан.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совместные нормативное постановление и приказ вводятся в действие после дня их первого официального опубликования.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Министр финансов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Высшей аудиторской палаты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__________А. 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