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daa3" w14:textId="608d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проверки подлинности электронной цифровой подписи</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21 августа 2026 года № 500/НҚ. Зарегистрирован в Министерстве юстиции Республики Казахстан 24 августа 2026 года № 39672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55 Цифрового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формирования и проверки подлинности электронной цифровой подписи.</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9 декабря 2015 года № 1187 "Об утверждении Правил проверки подлинности электронной цифровой подписи" (зарегистрированный в Реестре государственной регистрации нормативных правовых актов под № 12864);</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30 декабря 2016 года № 316 "О внесении изменения в приказ Министра по инвестициям и развитию Республики Казахстан от 9 декабря 2015 года № 1187 "Об утверждении Правил проверки подлинности электронной цифровой подписи" (зарегистрированный в Реестре государственной регистрации нормативных правовых актов под № 14759).</w:t>
      </w:r>
    </w:p>
    <w:bookmarkEnd w:id="4"/>
    <w:bookmarkStart w:name="z9" w:id="5"/>
    <w:p>
      <w:pPr>
        <w:spacing w:after="0"/>
        <w:ind w:left="0"/>
        <w:jc w:val="both"/>
      </w:pPr>
      <w:r>
        <w:rPr>
          <w:rFonts w:ascii="Times New Roman"/>
          <w:b w:val="false"/>
          <w:i w:val="false"/>
          <w:color w:val="000000"/>
          <w:sz w:val="28"/>
        </w:rPr>
        <w:t>
      3. Департаменту цифровых решений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искусственного интеллекта</w:t>
            </w:r>
          </w:p>
          <w:p>
            <w:pPr>
              <w:spacing w:after="20"/>
              <w:ind w:left="20"/>
              <w:jc w:val="both"/>
            </w:pPr>
            <w:r>
              <w:rPr>
                <w:rFonts w:ascii="Times New Roman"/>
                <w:b w:val="false"/>
                <w:i/>
                <w:color w:val="000000"/>
                <w:sz w:val="20"/>
              </w:rPr>
              <w:t xml:space="preserve">и цифрового развития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августа 2026 года</w:t>
            </w:r>
            <w:r>
              <w:br/>
            </w:r>
            <w:r>
              <w:rPr>
                <w:rFonts w:ascii="Times New Roman"/>
                <w:b w:val="false"/>
                <w:i w:val="false"/>
                <w:color w:val="000000"/>
                <w:sz w:val="20"/>
              </w:rPr>
              <w:t>№ 500/НҚ</w:t>
            </w:r>
          </w:p>
        </w:tc>
      </w:tr>
    </w:tbl>
    <w:bookmarkStart w:name="z24" w:id="11"/>
    <w:p>
      <w:pPr>
        <w:spacing w:after="0"/>
        <w:ind w:left="0"/>
        <w:jc w:val="left"/>
      </w:pPr>
      <w:r>
        <w:rPr>
          <w:rFonts w:ascii="Times New Roman"/>
          <w:b/>
          <w:i w:val="false"/>
          <w:color w:val="000000"/>
        </w:rPr>
        <w:t xml:space="preserve"> Правила формирования и проверки подлинности электронной цифровой подписи</w:t>
      </w:r>
    </w:p>
    <w:bookmarkEnd w:id="11"/>
    <w:bookmarkStart w:name="z25" w:id="12"/>
    <w:p>
      <w:pPr>
        <w:spacing w:after="0"/>
        <w:ind w:left="0"/>
        <w:jc w:val="left"/>
      </w:pPr>
      <w:r>
        <w:rPr>
          <w:rFonts w:ascii="Times New Roman"/>
          <w:b/>
          <w:i w:val="false"/>
          <w:color w:val="000000"/>
        </w:rPr>
        <w:t xml:space="preserve"> Глава 1. Общие положения</w:t>
      </w:r>
    </w:p>
    <w:bookmarkEnd w:id="12"/>
    <w:bookmarkStart w:name="z26" w:id="13"/>
    <w:p>
      <w:pPr>
        <w:spacing w:after="0"/>
        <w:ind w:left="0"/>
        <w:jc w:val="both"/>
      </w:pPr>
      <w:r>
        <w:rPr>
          <w:rFonts w:ascii="Times New Roman"/>
          <w:b w:val="false"/>
          <w:i w:val="false"/>
          <w:color w:val="000000"/>
          <w:sz w:val="28"/>
        </w:rPr>
        <w:t xml:space="preserve">
      1. Настоящие Правила формирования и проверки подлинности электронной цифровой подписи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55 Цифрового кодекса Республики Казахстан (далее – Кодекс) и устанавливают порядок формирования и проверки подлинности электронной цифровой подписи в электронном документе.</w:t>
      </w:r>
    </w:p>
    <w:bookmarkEnd w:id="13"/>
    <w:bookmarkStart w:name="z27" w:id="14"/>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4"/>
    <w:bookmarkStart w:name="z28" w:id="15"/>
    <w:p>
      <w:pPr>
        <w:spacing w:after="0"/>
        <w:ind w:left="0"/>
        <w:jc w:val="both"/>
      </w:pPr>
      <w:r>
        <w:rPr>
          <w:rFonts w:ascii="Times New Roman"/>
          <w:b w:val="false"/>
          <w:i w:val="false"/>
          <w:color w:val="000000"/>
          <w:sz w:val="28"/>
        </w:rPr>
        <w:t>
      1) сервис списка отозванных сертификатов открытого ключа электронной цифровой подписи – сервис, предоставляющий список отозванных сертификатов открытого ключа электронной цифровой подписи, сформированный в соответствии с RFC 5280;</w:t>
      </w:r>
    </w:p>
    <w:bookmarkEnd w:id="15"/>
    <w:bookmarkStart w:name="z29" w:id="16"/>
    <w:p>
      <w:pPr>
        <w:spacing w:after="0"/>
        <w:ind w:left="0"/>
        <w:jc w:val="both"/>
      </w:pPr>
      <w:r>
        <w:rPr>
          <w:rFonts w:ascii="Times New Roman"/>
          <w:b w:val="false"/>
          <w:i w:val="false"/>
          <w:color w:val="000000"/>
          <w:sz w:val="28"/>
        </w:rPr>
        <w:t>
      2) удостоверяющий центр – юридическое лицо, созданное в соответствии с законодательством Республики Казахстан, которое подтверждает достоверность сертификатов открытых ключей электронной цифровой подписи, принадлежность и действительность открытых ключей электронной цифровой подписи;</w:t>
      </w:r>
    </w:p>
    <w:bookmarkEnd w:id="16"/>
    <w:bookmarkStart w:name="z30" w:id="17"/>
    <w:p>
      <w:pPr>
        <w:spacing w:after="0"/>
        <w:ind w:left="0"/>
        <w:jc w:val="both"/>
      </w:pPr>
      <w:r>
        <w:rPr>
          <w:rFonts w:ascii="Times New Roman"/>
          <w:b w:val="false"/>
          <w:i w:val="false"/>
          <w:color w:val="000000"/>
          <w:sz w:val="28"/>
        </w:rPr>
        <w:t>
      3) объектный идентификатор (далее – OID) – уникальная иерархическая последовательность числовых идентификаторов, присваиваемая цифровому объекту для его однозначной идентификации в международном дереве идентификаторов объектов;</w:t>
      </w:r>
    </w:p>
    <w:bookmarkEnd w:id="17"/>
    <w:bookmarkStart w:name="z31" w:id="18"/>
    <w:p>
      <w:pPr>
        <w:spacing w:after="0"/>
        <w:ind w:left="0"/>
        <w:jc w:val="both"/>
      </w:pPr>
      <w:r>
        <w:rPr>
          <w:rFonts w:ascii="Times New Roman"/>
          <w:b w:val="false"/>
          <w:i w:val="false"/>
          <w:color w:val="000000"/>
          <w:sz w:val="28"/>
        </w:rPr>
        <w:t>
      4) владелец сертификата – физическое или юридическое лицо, на имя которого выдан сертификат открытого ключа электронной цифровой подписи, правомерно владеющее закрытым ключом, соответствующим открытому ключу, указанному в сертификате открытого ключа электронной цифровой подписи;</w:t>
      </w:r>
    </w:p>
    <w:bookmarkEnd w:id="18"/>
    <w:bookmarkStart w:name="z32" w:id="19"/>
    <w:p>
      <w:pPr>
        <w:spacing w:after="0"/>
        <w:ind w:left="0"/>
        <w:jc w:val="both"/>
      </w:pPr>
      <w:r>
        <w:rPr>
          <w:rFonts w:ascii="Times New Roman"/>
          <w:b w:val="false"/>
          <w:i w:val="false"/>
          <w:color w:val="000000"/>
          <w:sz w:val="28"/>
        </w:rPr>
        <w:t>
      5) сервис метки времени – онлайн-сервис удостоверяющего центра, предоставляющий квитанцию метки времени, подтверждающую существование электронной цифровой подписи в электронном документе на момент формирования квитанции метки времени, в соответствии с RFC 3161 и RFC 5816;</w:t>
      </w:r>
    </w:p>
    <w:bookmarkEnd w:id="19"/>
    <w:bookmarkStart w:name="z33" w:id="20"/>
    <w:p>
      <w:pPr>
        <w:spacing w:after="0"/>
        <w:ind w:left="0"/>
        <w:jc w:val="both"/>
      </w:pPr>
      <w:r>
        <w:rPr>
          <w:rFonts w:ascii="Times New Roman"/>
          <w:b w:val="false"/>
          <w:i w:val="false"/>
          <w:color w:val="000000"/>
          <w:sz w:val="28"/>
        </w:rPr>
        <w:t>
      6) хэш – значение фиксированной длины, получаемое из данных и применяемое для проверки их целостности;</w:t>
      </w:r>
    </w:p>
    <w:bookmarkEnd w:id="20"/>
    <w:bookmarkStart w:name="z34" w:id="21"/>
    <w:p>
      <w:pPr>
        <w:spacing w:after="0"/>
        <w:ind w:left="0"/>
        <w:jc w:val="both"/>
      </w:pPr>
      <w:r>
        <w:rPr>
          <w:rFonts w:ascii="Times New Roman"/>
          <w:b w:val="false"/>
          <w:i w:val="false"/>
          <w:color w:val="000000"/>
          <w:sz w:val="28"/>
        </w:rPr>
        <w:t>
      7) цифровая система – функционально связанный комплекс цифровых ресурсов, использующий объекты цифровой инфраструктуры с целью обеспечения создания, сбора, обработки, хранения и распространения цифровых данных, а также автоматизирующий взаимодействие субъектов цифровой среды и (или) обеспечивающий оказание услуг в цифровой среде;</w:t>
      </w:r>
    </w:p>
    <w:bookmarkEnd w:id="21"/>
    <w:bookmarkStart w:name="z35" w:id="22"/>
    <w:p>
      <w:pPr>
        <w:spacing w:after="0"/>
        <w:ind w:left="0"/>
        <w:jc w:val="both"/>
      </w:pPr>
      <w:r>
        <w:rPr>
          <w:rFonts w:ascii="Times New Roman"/>
          <w:b w:val="false"/>
          <w:i w:val="false"/>
          <w:color w:val="000000"/>
          <w:sz w:val="28"/>
        </w:rPr>
        <w:t>
      8) электронный документ – цифровая запись, подтверждение достоверности, принадлежности и неизменности которой обеспечено с помощью электронной цифровой подписи;</w:t>
      </w:r>
    </w:p>
    <w:bookmarkEnd w:id="22"/>
    <w:bookmarkStart w:name="z36" w:id="23"/>
    <w:p>
      <w:pPr>
        <w:spacing w:after="0"/>
        <w:ind w:left="0"/>
        <w:jc w:val="both"/>
      </w:pPr>
      <w:r>
        <w:rPr>
          <w:rFonts w:ascii="Times New Roman"/>
          <w:b w:val="false"/>
          <w:i w:val="false"/>
          <w:color w:val="000000"/>
          <w:sz w:val="28"/>
        </w:rPr>
        <w:t>
      9)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3"/>
    <w:bookmarkStart w:name="z37" w:id="24"/>
    <w:p>
      <w:pPr>
        <w:spacing w:after="0"/>
        <w:ind w:left="0"/>
        <w:jc w:val="both"/>
      </w:pPr>
      <w:r>
        <w:rPr>
          <w:rFonts w:ascii="Times New Roman"/>
          <w:b w:val="false"/>
          <w:i w:val="false"/>
          <w:color w:val="000000"/>
          <w:sz w:val="28"/>
        </w:rPr>
        <w:t>
      10) сертификат открытого ключа электронной цифровой подписи (далее – сертификат) – цифровая запись, удостоверенная электронной цифровой подписью удостоверяющего центра, которая служит для подтверждения соответствия электронной цифровой подписи требованиям, установленным Кодексом;</w:t>
      </w:r>
    </w:p>
    <w:bookmarkEnd w:id="24"/>
    <w:bookmarkStart w:name="z38" w:id="25"/>
    <w:p>
      <w:pPr>
        <w:spacing w:after="0"/>
        <w:ind w:left="0"/>
        <w:jc w:val="both"/>
      </w:pPr>
      <w:r>
        <w:rPr>
          <w:rFonts w:ascii="Times New Roman"/>
          <w:b w:val="false"/>
          <w:i w:val="false"/>
          <w:color w:val="000000"/>
          <w:sz w:val="28"/>
        </w:rPr>
        <w:t>
      11) открытый ключ электронной цифровой подписи – цифровые данные, предназначенные для подтверждения подлинности электронной цифровой подписи;</w:t>
      </w:r>
    </w:p>
    <w:bookmarkEnd w:id="25"/>
    <w:bookmarkStart w:name="z39" w:id="26"/>
    <w:p>
      <w:pPr>
        <w:spacing w:after="0"/>
        <w:ind w:left="0"/>
        <w:jc w:val="both"/>
      </w:pPr>
      <w:r>
        <w:rPr>
          <w:rFonts w:ascii="Times New Roman"/>
          <w:b w:val="false"/>
          <w:i w:val="false"/>
          <w:color w:val="000000"/>
          <w:sz w:val="28"/>
        </w:rPr>
        <w:t>
      12) сервис проверки статуса сертификата открытого ключа электронной цифровой подписи (Online Certificate Status Protocol, далее – OCSP) – онлайн-сервис удостоверяющего центра, предоставляющий OCSP-квитанцию, содержащую сведения об отзыве сертификата открытого ключа электронной цифровой подписи либо об отсутствии такого отзыва на момент выдачи OCSP-квитанции в соответствии с RFC 6960;</w:t>
      </w:r>
    </w:p>
    <w:bookmarkEnd w:id="26"/>
    <w:bookmarkStart w:name="z40" w:id="27"/>
    <w:p>
      <w:pPr>
        <w:spacing w:after="0"/>
        <w:ind w:left="0"/>
        <w:jc w:val="both"/>
      </w:pPr>
      <w:r>
        <w:rPr>
          <w:rFonts w:ascii="Times New Roman"/>
          <w:b w:val="false"/>
          <w:i w:val="false"/>
          <w:color w:val="000000"/>
          <w:sz w:val="28"/>
        </w:rPr>
        <w:t>
      13) закрытый ключ электронной цифровой подписи – цифровые данные, предназначенные для создания электронной цифровой подписи с использованием средств электронной цифровой подписи;</w:t>
      </w:r>
    </w:p>
    <w:bookmarkEnd w:id="27"/>
    <w:bookmarkStart w:name="z41" w:id="28"/>
    <w:p>
      <w:pPr>
        <w:spacing w:after="0"/>
        <w:ind w:left="0"/>
        <w:jc w:val="both"/>
      </w:pPr>
      <w:r>
        <w:rPr>
          <w:rFonts w:ascii="Times New Roman"/>
          <w:b w:val="false"/>
          <w:i w:val="false"/>
          <w:color w:val="000000"/>
          <w:sz w:val="28"/>
        </w:rPr>
        <w:t>
      14) формат CAdES (CMS Advanced Electronic Signatures, далее – CAdES) – формат электронной цифровой подписи на основе CMS;</w:t>
      </w:r>
    </w:p>
    <w:bookmarkEnd w:id="28"/>
    <w:bookmarkStart w:name="z42" w:id="29"/>
    <w:p>
      <w:pPr>
        <w:spacing w:after="0"/>
        <w:ind w:left="0"/>
        <w:jc w:val="both"/>
      </w:pPr>
      <w:r>
        <w:rPr>
          <w:rFonts w:ascii="Times New Roman"/>
          <w:b w:val="false"/>
          <w:i w:val="false"/>
          <w:color w:val="000000"/>
          <w:sz w:val="28"/>
        </w:rPr>
        <w:t>
      15) формат CMS (Cryptographic Message Syntax, далее – CMS) – формат криптографических сообщений, используемый для формирования и проверки электронной цифровой подписи;</w:t>
      </w:r>
    </w:p>
    <w:bookmarkEnd w:id="29"/>
    <w:bookmarkStart w:name="z43" w:id="30"/>
    <w:p>
      <w:pPr>
        <w:spacing w:after="0"/>
        <w:ind w:left="0"/>
        <w:jc w:val="both"/>
      </w:pPr>
      <w:r>
        <w:rPr>
          <w:rFonts w:ascii="Times New Roman"/>
          <w:b w:val="false"/>
          <w:i w:val="false"/>
          <w:color w:val="000000"/>
          <w:sz w:val="28"/>
        </w:rPr>
        <w:t>
      16) формат PAdES (PDF Advanced Electronic Signatures, далее – PAdES) – формат электронной цифровой подписи для документов в формате PDF;</w:t>
      </w:r>
    </w:p>
    <w:bookmarkEnd w:id="30"/>
    <w:bookmarkStart w:name="z44" w:id="31"/>
    <w:p>
      <w:pPr>
        <w:spacing w:after="0"/>
        <w:ind w:left="0"/>
        <w:jc w:val="both"/>
      </w:pPr>
      <w:r>
        <w:rPr>
          <w:rFonts w:ascii="Times New Roman"/>
          <w:b w:val="false"/>
          <w:i w:val="false"/>
          <w:color w:val="000000"/>
          <w:sz w:val="28"/>
        </w:rPr>
        <w:t>
      17) формат PDF (Portable Document Format, далее – PDF) – формат электронного документа, поддерживающий встроенное размещение электронной цифровой подписи;</w:t>
      </w:r>
    </w:p>
    <w:bookmarkEnd w:id="31"/>
    <w:bookmarkStart w:name="z45" w:id="32"/>
    <w:p>
      <w:pPr>
        <w:spacing w:after="0"/>
        <w:ind w:left="0"/>
        <w:jc w:val="both"/>
      </w:pPr>
      <w:r>
        <w:rPr>
          <w:rFonts w:ascii="Times New Roman"/>
          <w:b w:val="false"/>
          <w:i w:val="false"/>
          <w:color w:val="000000"/>
          <w:sz w:val="28"/>
        </w:rPr>
        <w:t>
      18) стандарт Х.509 – стандарт, определяющий форматы данных и процедуры распределения открытых ключей с помощью сертификата открытого ключа электронной цифровой подписи;</w:t>
      </w:r>
    </w:p>
    <w:bookmarkEnd w:id="32"/>
    <w:bookmarkStart w:name="z46" w:id="33"/>
    <w:p>
      <w:pPr>
        <w:spacing w:after="0"/>
        <w:ind w:left="0"/>
        <w:jc w:val="both"/>
      </w:pPr>
      <w:r>
        <w:rPr>
          <w:rFonts w:ascii="Times New Roman"/>
          <w:b w:val="false"/>
          <w:i w:val="false"/>
          <w:color w:val="000000"/>
          <w:sz w:val="28"/>
        </w:rPr>
        <w:t>
      19) формат XAdES (XML Advanced Electronic Signatures, далее – XAdES) – формат электронной цифровой подписи для документов в формате XML;</w:t>
      </w:r>
    </w:p>
    <w:bookmarkEnd w:id="33"/>
    <w:bookmarkStart w:name="z47" w:id="34"/>
    <w:p>
      <w:pPr>
        <w:spacing w:after="0"/>
        <w:ind w:left="0"/>
        <w:jc w:val="both"/>
      </w:pPr>
      <w:r>
        <w:rPr>
          <w:rFonts w:ascii="Times New Roman"/>
          <w:b w:val="false"/>
          <w:i w:val="false"/>
          <w:color w:val="000000"/>
          <w:sz w:val="28"/>
        </w:rPr>
        <w:t>
      20) расширяемый язык разметки XML (eXtensible Markup Language, далее – XML) – расширяемый язык разметки, используемый для хранения и передачи данных в структурированном и машиночитаемом формате.</w:t>
      </w:r>
    </w:p>
    <w:bookmarkEnd w:id="34"/>
    <w:bookmarkStart w:name="z48" w:id="35"/>
    <w:p>
      <w:pPr>
        <w:spacing w:after="0"/>
        <w:ind w:left="0"/>
        <w:jc w:val="left"/>
      </w:pPr>
      <w:r>
        <w:rPr>
          <w:rFonts w:ascii="Times New Roman"/>
          <w:b/>
          <w:i w:val="false"/>
          <w:color w:val="000000"/>
        </w:rPr>
        <w:t xml:space="preserve"> Глава 2. Формирование и проверка подлинности электронной цифровой подписи</w:t>
      </w:r>
    </w:p>
    <w:bookmarkEnd w:id="35"/>
    <w:bookmarkStart w:name="z49" w:id="36"/>
    <w:p>
      <w:pPr>
        <w:spacing w:after="0"/>
        <w:ind w:left="0"/>
        <w:jc w:val="left"/>
      </w:pPr>
      <w:r>
        <w:rPr>
          <w:rFonts w:ascii="Times New Roman"/>
          <w:b/>
          <w:i w:val="false"/>
          <w:color w:val="000000"/>
        </w:rPr>
        <w:t xml:space="preserve"> Параграф 1. Формирование электронной цифровой подписи</w:t>
      </w:r>
    </w:p>
    <w:bookmarkEnd w:id="36"/>
    <w:bookmarkStart w:name="z50" w:id="37"/>
    <w:p>
      <w:pPr>
        <w:spacing w:after="0"/>
        <w:ind w:left="0"/>
        <w:jc w:val="both"/>
      </w:pPr>
      <w:r>
        <w:rPr>
          <w:rFonts w:ascii="Times New Roman"/>
          <w:b w:val="false"/>
          <w:i w:val="false"/>
          <w:color w:val="000000"/>
          <w:sz w:val="28"/>
        </w:rPr>
        <w:t>
      3. Формирование ЭЦП осуществляется владельцем сертификата либо цифровой системой с использованием закрытого ключа ЭЦП.</w:t>
      </w:r>
    </w:p>
    <w:bookmarkEnd w:id="37"/>
    <w:bookmarkStart w:name="z51" w:id="38"/>
    <w:p>
      <w:pPr>
        <w:spacing w:after="0"/>
        <w:ind w:left="0"/>
        <w:jc w:val="both"/>
      </w:pPr>
      <w:r>
        <w:rPr>
          <w:rFonts w:ascii="Times New Roman"/>
          <w:b w:val="false"/>
          <w:i w:val="false"/>
          <w:color w:val="000000"/>
          <w:sz w:val="28"/>
        </w:rPr>
        <w:t>
      4. Перед формированием ЭЦП осуществляются следующие проверки сертификата подписывающего лица:</w:t>
      </w:r>
    </w:p>
    <w:bookmarkEnd w:id="38"/>
    <w:bookmarkStart w:name="z52" w:id="39"/>
    <w:p>
      <w:pPr>
        <w:spacing w:after="0"/>
        <w:ind w:left="0"/>
        <w:jc w:val="both"/>
      </w:pPr>
      <w:r>
        <w:rPr>
          <w:rFonts w:ascii="Times New Roman"/>
          <w:b w:val="false"/>
          <w:i w:val="false"/>
          <w:color w:val="000000"/>
          <w:sz w:val="28"/>
        </w:rPr>
        <w:t>
      1) криптографическая проверка подлинности сертификата путем проверки ЭЦП удостоверяющего центра;</w:t>
      </w:r>
    </w:p>
    <w:bookmarkEnd w:id="39"/>
    <w:bookmarkStart w:name="z53" w:id="40"/>
    <w:p>
      <w:pPr>
        <w:spacing w:after="0"/>
        <w:ind w:left="0"/>
        <w:jc w:val="both"/>
      </w:pPr>
      <w:r>
        <w:rPr>
          <w:rFonts w:ascii="Times New Roman"/>
          <w:b w:val="false"/>
          <w:i w:val="false"/>
          <w:color w:val="000000"/>
          <w:sz w:val="28"/>
        </w:rPr>
        <w:t>
      2) проверка срока действия сертификата с установлением того, что срок его действия наступил и не истек;</w:t>
      </w:r>
    </w:p>
    <w:bookmarkEnd w:id="40"/>
    <w:bookmarkStart w:name="z54" w:id="41"/>
    <w:p>
      <w:pPr>
        <w:spacing w:after="0"/>
        <w:ind w:left="0"/>
        <w:jc w:val="both"/>
      </w:pPr>
      <w:r>
        <w:rPr>
          <w:rFonts w:ascii="Times New Roman"/>
          <w:b w:val="false"/>
          <w:i w:val="false"/>
          <w:color w:val="000000"/>
          <w:sz w:val="28"/>
        </w:rPr>
        <w:t>
      3) проверка отсутствия сведений об отзыве сертификата посредством онлайн-сервиса OCSP, а при его недоступности посредством сервиса списка отозванных сертификатов. При использовании сервиса списка отозванных сертификатов применяется актуальный список отозванных сертификатов (Certificate Revocation List, далее – CRL) и промежуточный список отозванных сертификатов (Delta Certificate Revocation List, далее – delta CRL). Использование delta CRL является не обязательным и применяется для уточнения сведений об отзыве сертификата в период действия CRL;</w:t>
      </w:r>
    </w:p>
    <w:bookmarkEnd w:id="41"/>
    <w:bookmarkStart w:name="z55" w:id="42"/>
    <w:p>
      <w:pPr>
        <w:spacing w:after="0"/>
        <w:ind w:left="0"/>
        <w:jc w:val="both"/>
      </w:pPr>
      <w:r>
        <w:rPr>
          <w:rFonts w:ascii="Times New Roman"/>
          <w:b w:val="false"/>
          <w:i w:val="false"/>
          <w:color w:val="000000"/>
          <w:sz w:val="28"/>
        </w:rPr>
        <w:t>
      4) проверка области и целей использования сертификата, в соответствии с политикой применения сертификатов удостоверяющего центра.</w:t>
      </w:r>
    </w:p>
    <w:bookmarkEnd w:id="42"/>
    <w:bookmarkStart w:name="z56" w:id="43"/>
    <w:p>
      <w:pPr>
        <w:spacing w:after="0"/>
        <w:ind w:left="0"/>
        <w:jc w:val="both"/>
      </w:pPr>
      <w:r>
        <w:rPr>
          <w:rFonts w:ascii="Times New Roman"/>
          <w:b w:val="false"/>
          <w:i w:val="false"/>
          <w:color w:val="000000"/>
          <w:sz w:val="28"/>
        </w:rPr>
        <w:t>
      5. В отношении документов, для которых требуется подтверждение момента формирования ЭЦП либо ее проверка после истечения срока действия сертификата или его отзыва, подтверждением даты и времени формирования ЭЦП являются дата и время, указанные в квитанции метки времени. Для подтверждения момента формирования ЭЦП квитанция метки времени формируется непосредственно после формирования ЭЦП.</w:t>
      </w:r>
    </w:p>
    <w:bookmarkEnd w:id="43"/>
    <w:bookmarkStart w:name="z57" w:id="44"/>
    <w:p>
      <w:pPr>
        <w:spacing w:after="0"/>
        <w:ind w:left="0"/>
        <w:jc w:val="both"/>
      </w:pPr>
      <w:r>
        <w:rPr>
          <w:rFonts w:ascii="Times New Roman"/>
          <w:b w:val="false"/>
          <w:i w:val="false"/>
          <w:color w:val="000000"/>
          <w:sz w:val="28"/>
        </w:rPr>
        <w:t>
      6. При отсутствии квитанции метки времени невозможно достоверно подтвердить дату и время существования ЭЦП на определенный момент времени.</w:t>
      </w:r>
    </w:p>
    <w:bookmarkEnd w:id="44"/>
    <w:bookmarkStart w:name="z58" w:id="45"/>
    <w:p>
      <w:pPr>
        <w:spacing w:after="0"/>
        <w:ind w:left="0"/>
        <w:jc w:val="both"/>
      </w:pPr>
      <w:r>
        <w:rPr>
          <w:rFonts w:ascii="Times New Roman"/>
          <w:b w:val="false"/>
          <w:i w:val="false"/>
          <w:color w:val="000000"/>
          <w:sz w:val="28"/>
        </w:rPr>
        <w:t>
      7. Для формирования ЭЦП применяются следующие основные форматы:</w:t>
      </w:r>
    </w:p>
    <w:bookmarkEnd w:id="45"/>
    <w:bookmarkStart w:name="z59" w:id="46"/>
    <w:p>
      <w:pPr>
        <w:spacing w:after="0"/>
        <w:ind w:left="0"/>
        <w:jc w:val="both"/>
      </w:pPr>
      <w:r>
        <w:rPr>
          <w:rFonts w:ascii="Times New Roman"/>
          <w:b w:val="false"/>
          <w:i w:val="false"/>
          <w:color w:val="000000"/>
          <w:sz w:val="28"/>
        </w:rPr>
        <w:t>
      1) CAdES – для документов любого формата (на основе CMS, совместимого с PKCS#7);</w:t>
      </w:r>
    </w:p>
    <w:bookmarkEnd w:id="46"/>
    <w:bookmarkStart w:name="z60" w:id="47"/>
    <w:p>
      <w:pPr>
        <w:spacing w:after="0"/>
        <w:ind w:left="0"/>
        <w:jc w:val="both"/>
      </w:pPr>
      <w:r>
        <w:rPr>
          <w:rFonts w:ascii="Times New Roman"/>
          <w:b w:val="false"/>
          <w:i w:val="false"/>
          <w:color w:val="000000"/>
          <w:sz w:val="28"/>
        </w:rPr>
        <w:t>
      2) PAdES – для документов в формате PDF;</w:t>
      </w:r>
    </w:p>
    <w:bookmarkEnd w:id="47"/>
    <w:bookmarkStart w:name="z61" w:id="48"/>
    <w:p>
      <w:pPr>
        <w:spacing w:after="0"/>
        <w:ind w:left="0"/>
        <w:jc w:val="both"/>
      </w:pPr>
      <w:r>
        <w:rPr>
          <w:rFonts w:ascii="Times New Roman"/>
          <w:b w:val="false"/>
          <w:i w:val="false"/>
          <w:color w:val="000000"/>
          <w:sz w:val="28"/>
        </w:rPr>
        <w:t>
      3) XAdES – для структурированных XML-документов.</w:t>
      </w:r>
    </w:p>
    <w:bookmarkEnd w:id="48"/>
    <w:bookmarkStart w:name="z62" w:id="49"/>
    <w:p>
      <w:pPr>
        <w:spacing w:after="0"/>
        <w:ind w:left="0"/>
        <w:jc w:val="both"/>
      </w:pPr>
      <w:r>
        <w:rPr>
          <w:rFonts w:ascii="Times New Roman"/>
          <w:b w:val="false"/>
          <w:i w:val="false"/>
          <w:color w:val="000000"/>
          <w:sz w:val="28"/>
        </w:rPr>
        <w:t>
      Допускается применение иных форматов ЭЦП при условии обеспечения возможности проверки ЭЦП в соответствии с настоящими Правилами.</w:t>
      </w:r>
    </w:p>
    <w:bookmarkEnd w:id="49"/>
    <w:bookmarkStart w:name="z63" w:id="50"/>
    <w:p>
      <w:pPr>
        <w:spacing w:after="0"/>
        <w:ind w:left="0"/>
        <w:jc w:val="both"/>
      </w:pPr>
      <w:r>
        <w:rPr>
          <w:rFonts w:ascii="Times New Roman"/>
          <w:b w:val="false"/>
          <w:i w:val="false"/>
          <w:color w:val="000000"/>
          <w:sz w:val="28"/>
        </w:rPr>
        <w:t>
      8. Формат CAdES содержит:</w:t>
      </w:r>
    </w:p>
    <w:bookmarkEnd w:id="50"/>
    <w:bookmarkStart w:name="z64" w:id="51"/>
    <w:p>
      <w:pPr>
        <w:spacing w:after="0"/>
        <w:ind w:left="0"/>
        <w:jc w:val="both"/>
      </w:pPr>
      <w:r>
        <w:rPr>
          <w:rFonts w:ascii="Times New Roman"/>
          <w:b w:val="false"/>
          <w:i w:val="false"/>
          <w:color w:val="000000"/>
          <w:sz w:val="28"/>
        </w:rPr>
        <w:t>
      1) структурные элементы:</w:t>
      </w:r>
    </w:p>
    <w:bookmarkEnd w:id="51"/>
    <w:bookmarkStart w:name="z65" w:id="52"/>
    <w:p>
      <w:pPr>
        <w:spacing w:after="0"/>
        <w:ind w:left="0"/>
        <w:jc w:val="both"/>
      </w:pPr>
      <w:r>
        <w:rPr>
          <w:rFonts w:ascii="Times New Roman"/>
          <w:b w:val="false"/>
          <w:i w:val="false"/>
          <w:color w:val="000000"/>
          <w:sz w:val="28"/>
        </w:rPr>
        <w:t>
      подписываемые данные либо их хэш, позволяющее однозначно установить подписанные данные;</w:t>
      </w:r>
    </w:p>
    <w:bookmarkEnd w:id="52"/>
    <w:bookmarkStart w:name="z66" w:id="53"/>
    <w:p>
      <w:pPr>
        <w:spacing w:after="0"/>
        <w:ind w:left="0"/>
        <w:jc w:val="both"/>
      </w:pPr>
      <w:r>
        <w:rPr>
          <w:rFonts w:ascii="Times New Roman"/>
          <w:b w:val="false"/>
          <w:i w:val="false"/>
          <w:color w:val="000000"/>
          <w:sz w:val="28"/>
        </w:rPr>
        <w:t>
      значение ЭЦП;</w:t>
      </w:r>
    </w:p>
    <w:bookmarkEnd w:id="53"/>
    <w:bookmarkStart w:name="z67" w:id="54"/>
    <w:p>
      <w:pPr>
        <w:spacing w:after="0"/>
        <w:ind w:left="0"/>
        <w:jc w:val="both"/>
      </w:pPr>
      <w:r>
        <w:rPr>
          <w:rFonts w:ascii="Times New Roman"/>
          <w:b w:val="false"/>
          <w:i w:val="false"/>
          <w:color w:val="000000"/>
          <w:sz w:val="28"/>
        </w:rPr>
        <w:t>
      алгоритм формирования ЭЦП;</w:t>
      </w:r>
    </w:p>
    <w:bookmarkEnd w:id="54"/>
    <w:bookmarkStart w:name="z68" w:id="55"/>
    <w:p>
      <w:pPr>
        <w:spacing w:after="0"/>
        <w:ind w:left="0"/>
        <w:jc w:val="both"/>
      </w:pPr>
      <w:r>
        <w:rPr>
          <w:rFonts w:ascii="Times New Roman"/>
          <w:b w:val="false"/>
          <w:i w:val="false"/>
          <w:color w:val="000000"/>
          <w:sz w:val="28"/>
        </w:rPr>
        <w:t>
      сертификат подписывающего лица;</w:t>
      </w:r>
    </w:p>
    <w:bookmarkEnd w:id="55"/>
    <w:bookmarkStart w:name="z69" w:id="56"/>
    <w:p>
      <w:pPr>
        <w:spacing w:after="0"/>
        <w:ind w:left="0"/>
        <w:jc w:val="both"/>
      </w:pPr>
      <w:r>
        <w:rPr>
          <w:rFonts w:ascii="Times New Roman"/>
          <w:b w:val="false"/>
          <w:i w:val="false"/>
          <w:color w:val="000000"/>
          <w:sz w:val="28"/>
        </w:rPr>
        <w:t>
      атрибут "messageDigest" (OID: 1.2.840.113549.1.9.4) – содержит хэш подписываемых данных;</w:t>
      </w:r>
    </w:p>
    <w:bookmarkEnd w:id="56"/>
    <w:bookmarkStart w:name="z70" w:id="57"/>
    <w:p>
      <w:pPr>
        <w:spacing w:after="0"/>
        <w:ind w:left="0"/>
        <w:jc w:val="both"/>
      </w:pPr>
      <w:r>
        <w:rPr>
          <w:rFonts w:ascii="Times New Roman"/>
          <w:b w:val="false"/>
          <w:i w:val="false"/>
          <w:color w:val="000000"/>
          <w:sz w:val="28"/>
        </w:rPr>
        <w:t>
      атрибут "signingCertificateV2" (OID: 1.2.840.113549.1.9.16.2.47) – содержит хэш сертификата подписывающего лица, использованного при формировании подписи;</w:t>
      </w:r>
    </w:p>
    <w:bookmarkEnd w:id="57"/>
    <w:bookmarkStart w:name="z71" w:id="58"/>
    <w:p>
      <w:pPr>
        <w:spacing w:after="0"/>
        <w:ind w:left="0"/>
        <w:jc w:val="both"/>
      </w:pPr>
      <w:r>
        <w:rPr>
          <w:rFonts w:ascii="Times New Roman"/>
          <w:b w:val="false"/>
          <w:i w:val="false"/>
          <w:color w:val="000000"/>
          <w:sz w:val="28"/>
        </w:rPr>
        <w:t>
      атрибут "contentType" (OID: 1.2.840.113549.1.9.3) – определяет тип подписываемых данных.</w:t>
      </w:r>
    </w:p>
    <w:bookmarkEnd w:id="58"/>
    <w:bookmarkStart w:name="z72" w:id="59"/>
    <w:p>
      <w:pPr>
        <w:spacing w:after="0"/>
        <w:ind w:left="0"/>
        <w:jc w:val="both"/>
      </w:pPr>
      <w:r>
        <w:rPr>
          <w:rFonts w:ascii="Times New Roman"/>
          <w:b w:val="false"/>
          <w:i w:val="false"/>
          <w:color w:val="000000"/>
          <w:sz w:val="28"/>
        </w:rPr>
        <w:t>
      2) дополнительные (опциональные) структурные элементы:</w:t>
      </w:r>
    </w:p>
    <w:bookmarkEnd w:id="59"/>
    <w:bookmarkStart w:name="z73" w:id="60"/>
    <w:p>
      <w:pPr>
        <w:spacing w:after="0"/>
        <w:ind w:left="0"/>
        <w:jc w:val="both"/>
      </w:pPr>
      <w:r>
        <w:rPr>
          <w:rFonts w:ascii="Times New Roman"/>
          <w:b w:val="false"/>
          <w:i w:val="false"/>
          <w:color w:val="000000"/>
          <w:sz w:val="28"/>
        </w:rPr>
        <w:t>
      квитанция метки времени (OID: 1.2.840.113549.1.9.16.2.14) – содержит дату и время, сформированные сервисом метки времени, и подтверждает момент формирования ЭЦП;</w:t>
      </w:r>
    </w:p>
    <w:bookmarkEnd w:id="60"/>
    <w:bookmarkStart w:name="z74" w:id="61"/>
    <w:p>
      <w:pPr>
        <w:spacing w:after="0"/>
        <w:ind w:left="0"/>
        <w:jc w:val="both"/>
      </w:pPr>
      <w:r>
        <w:rPr>
          <w:rFonts w:ascii="Times New Roman"/>
          <w:b w:val="false"/>
          <w:i w:val="false"/>
          <w:color w:val="000000"/>
          <w:sz w:val="28"/>
        </w:rPr>
        <w:t>
      сведения об отзыве сертификата (OID: 1.2.840.113549.1.9.16.2.24) – OCSP-квитанция либо CRL;</w:t>
      </w:r>
    </w:p>
    <w:bookmarkEnd w:id="61"/>
    <w:bookmarkStart w:name="z75" w:id="62"/>
    <w:p>
      <w:pPr>
        <w:spacing w:after="0"/>
        <w:ind w:left="0"/>
        <w:jc w:val="both"/>
      </w:pPr>
      <w:r>
        <w:rPr>
          <w:rFonts w:ascii="Times New Roman"/>
          <w:b w:val="false"/>
          <w:i w:val="false"/>
          <w:color w:val="000000"/>
          <w:sz w:val="28"/>
        </w:rPr>
        <w:t>
      сертификаты цепочки сертификации (OID: 1.2.840.113549.1.9.16.2.23) – содержат сертификаты, необходимые для построения и проверки цепочки сертификации от проверяемого сертификата до доверенного корневого сертификата удостоверяющего центра с учетом промежуточных сертификатов;</w:t>
      </w:r>
    </w:p>
    <w:bookmarkEnd w:id="62"/>
    <w:bookmarkStart w:name="z76" w:id="63"/>
    <w:p>
      <w:pPr>
        <w:spacing w:after="0"/>
        <w:ind w:left="0"/>
        <w:jc w:val="both"/>
      </w:pPr>
      <w:r>
        <w:rPr>
          <w:rFonts w:ascii="Times New Roman"/>
          <w:b w:val="false"/>
          <w:i w:val="false"/>
          <w:color w:val="000000"/>
          <w:sz w:val="28"/>
        </w:rPr>
        <w:t>
      иные атрибуты – могут включаться по усмотрению формирующей стороны при условии, что их использование не препятствует проверке ЭЦП.</w:t>
      </w:r>
    </w:p>
    <w:bookmarkEnd w:id="63"/>
    <w:bookmarkStart w:name="z77" w:id="64"/>
    <w:p>
      <w:pPr>
        <w:spacing w:after="0"/>
        <w:ind w:left="0"/>
        <w:jc w:val="both"/>
      </w:pPr>
      <w:r>
        <w:rPr>
          <w:rFonts w:ascii="Times New Roman"/>
          <w:b w:val="false"/>
          <w:i w:val="false"/>
          <w:color w:val="000000"/>
          <w:sz w:val="28"/>
        </w:rPr>
        <w:t>
      9. Формат PAdES содержит:</w:t>
      </w:r>
    </w:p>
    <w:bookmarkEnd w:id="64"/>
    <w:bookmarkStart w:name="z78" w:id="65"/>
    <w:p>
      <w:pPr>
        <w:spacing w:after="0"/>
        <w:ind w:left="0"/>
        <w:jc w:val="both"/>
      </w:pPr>
      <w:r>
        <w:rPr>
          <w:rFonts w:ascii="Times New Roman"/>
          <w:b w:val="false"/>
          <w:i w:val="false"/>
          <w:color w:val="000000"/>
          <w:sz w:val="28"/>
        </w:rPr>
        <w:t>
      1) структурные элементы:</w:t>
      </w:r>
    </w:p>
    <w:bookmarkEnd w:id="65"/>
    <w:bookmarkStart w:name="z79" w:id="66"/>
    <w:p>
      <w:pPr>
        <w:spacing w:after="0"/>
        <w:ind w:left="0"/>
        <w:jc w:val="both"/>
      </w:pPr>
      <w:r>
        <w:rPr>
          <w:rFonts w:ascii="Times New Roman"/>
          <w:b w:val="false"/>
          <w:i w:val="false"/>
          <w:color w:val="000000"/>
          <w:sz w:val="28"/>
        </w:rPr>
        <w:t>
      подписываемый документ;</w:t>
      </w:r>
    </w:p>
    <w:bookmarkEnd w:id="66"/>
    <w:bookmarkStart w:name="z80" w:id="67"/>
    <w:p>
      <w:pPr>
        <w:spacing w:after="0"/>
        <w:ind w:left="0"/>
        <w:jc w:val="both"/>
      </w:pPr>
      <w:r>
        <w:rPr>
          <w:rFonts w:ascii="Times New Roman"/>
          <w:b w:val="false"/>
          <w:i w:val="false"/>
          <w:color w:val="000000"/>
          <w:sz w:val="28"/>
        </w:rPr>
        <w:t>
      сертификат подписывающего лица;</w:t>
      </w:r>
    </w:p>
    <w:bookmarkEnd w:id="67"/>
    <w:bookmarkStart w:name="z81" w:id="68"/>
    <w:p>
      <w:pPr>
        <w:spacing w:after="0"/>
        <w:ind w:left="0"/>
        <w:jc w:val="both"/>
      </w:pPr>
      <w:r>
        <w:rPr>
          <w:rFonts w:ascii="Times New Roman"/>
          <w:b w:val="false"/>
          <w:i w:val="false"/>
          <w:color w:val="000000"/>
          <w:sz w:val="28"/>
        </w:rPr>
        <w:t>
      запись "ByteRange" – определяет диапазоны байтов подписываемого документа;</w:t>
      </w:r>
    </w:p>
    <w:bookmarkEnd w:id="68"/>
    <w:bookmarkStart w:name="z82" w:id="69"/>
    <w:p>
      <w:pPr>
        <w:spacing w:after="0"/>
        <w:ind w:left="0"/>
        <w:jc w:val="both"/>
      </w:pPr>
      <w:r>
        <w:rPr>
          <w:rFonts w:ascii="Times New Roman"/>
          <w:b w:val="false"/>
          <w:i w:val="false"/>
          <w:color w:val="000000"/>
          <w:sz w:val="28"/>
        </w:rPr>
        <w:t>
      запись "SubFilter" – определяет использование формата ЭЦП CAdES;</w:t>
      </w:r>
    </w:p>
    <w:bookmarkEnd w:id="69"/>
    <w:bookmarkStart w:name="z83" w:id="70"/>
    <w:p>
      <w:pPr>
        <w:spacing w:after="0"/>
        <w:ind w:left="0"/>
        <w:jc w:val="both"/>
      </w:pPr>
      <w:r>
        <w:rPr>
          <w:rFonts w:ascii="Times New Roman"/>
          <w:b w:val="false"/>
          <w:i w:val="false"/>
          <w:color w:val="000000"/>
          <w:sz w:val="28"/>
        </w:rPr>
        <w:t>
      запись "Contents" – содержит значение ЭЦП.</w:t>
      </w:r>
    </w:p>
    <w:bookmarkEnd w:id="70"/>
    <w:bookmarkStart w:name="z84" w:id="71"/>
    <w:p>
      <w:pPr>
        <w:spacing w:after="0"/>
        <w:ind w:left="0"/>
        <w:jc w:val="both"/>
      </w:pPr>
      <w:r>
        <w:rPr>
          <w:rFonts w:ascii="Times New Roman"/>
          <w:b w:val="false"/>
          <w:i w:val="false"/>
          <w:color w:val="000000"/>
          <w:sz w:val="28"/>
        </w:rPr>
        <w:t>
      2) дополнительные (опциональные) структурные элементы ЭЦП в формате PAdES включают атрибуты, в соответствии с пунктом 9 настоящих Правил.</w:t>
      </w:r>
    </w:p>
    <w:bookmarkEnd w:id="71"/>
    <w:bookmarkStart w:name="z85" w:id="72"/>
    <w:p>
      <w:pPr>
        <w:spacing w:after="0"/>
        <w:ind w:left="0"/>
        <w:jc w:val="both"/>
      </w:pPr>
      <w:r>
        <w:rPr>
          <w:rFonts w:ascii="Times New Roman"/>
          <w:b w:val="false"/>
          <w:i w:val="false"/>
          <w:color w:val="000000"/>
          <w:sz w:val="28"/>
        </w:rPr>
        <w:t>
      10. Формат XAdES содержит:</w:t>
      </w:r>
    </w:p>
    <w:bookmarkEnd w:id="72"/>
    <w:bookmarkStart w:name="z86" w:id="73"/>
    <w:p>
      <w:pPr>
        <w:spacing w:after="0"/>
        <w:ind w:left="0"/>
        <w:jc w:val="both"/>
      </w:pPr>
      <w:r>
        <w:rPr>
          <w:rFonts w:ascii="Times New Roman"/>
          <w:b w:val="false"/>
          <w:i w:val="false"/>
          <w:color w:val="000000"/>
          <w:sz w:val="28"/>
        </w:rPr>
        <w:t>
      1) структурные элементы:</w:t>
      </w:r>
    </w:p>
    <w:bookmarkEnd w:id="73"/>
    <w:bookmarkStart w:name="z87" w:id="74"/>
    <w:p>
      <w:pPr>
        <w:spacing w:after="0"/>
        <w:ind w:left="0"/>
        <w:jc w:val="both"/>
      </w:pPr>
      <w:r>
        <w:rPr>
          <w:rFonts w:ascii="Times New Roman"/>
          <w:b w:val="false"/>
          <w:i w:val="false"/>
          <w:color w:val="000000"/>
          <w:sz w:val="28"/>
        </w:rPr>
        <w:t>
      подписываемый документ;</w:t>
      </w:r>
    </w:p>
    <w:bookmarkEnd w:id="74"/>
    <w:bookmarkStart w:name="z88" w:id="75"/>
    <w:p>
      <w:pPr>
        <w:spacing w:after="0"/>
        <w:ind w:left="0"/>
        <w:jc w:val="both"/>
      </w:pPr>
      <w:r>
        <w:rPr>
          <w:rFonts w:ascii="Times New Roman"/>
          <w:b w:val="false"/>
          <w:i w:val="false"/>
          <w:color w:val="000000"/>
          <w:sz w:val="28"/>
        </w:rPr>
        <w:t>
      элемент "SignedInfo" – содержит канонизированное представление данных, подлежащих подписанию, включая ссылки на них, их хэш и сведения о применяемых алгоритмах;</w:t>
      </w:r>
    </w:p>
    <w:bookmarkEnd w:id="75"/>
    <w:bookmarkStart w:name="z89" w:id="76"/>
    <w:p>
      <w:pPr>
        <w:spacing w:after="0"/>
        <w:ind w:left="0"/>
        <w:jc w:val="both"/>
      </w:pPr>
      <w:r>
        <w:rPr>
          <w:rFonts w:ascii="Times New Roman"/>
          <w:b w:val="false"/>
          <w:i w:val="false"/>
          <w:color w:val="000000"/>
          <w:sz w:val="28"/>
        </w:rPr>
        <w:t>
      элемент "SignatureValue" – содержит значение ЭЦП;</w:t>
      </w:r>
    </w:p>
    <w:bookmarkEnd w:id="76"/>
    <w:bookmarkStart w:name="z90" w:id="77"/>
    <w:p>
      <w:pPr>
        <w:spacing w:after="0"/>
        <w:ind w:left="0"/>
        <w:jc w:val="both"/>
      </w:pPr>
      <w:r>
        <w:rPr>
          <w:rFonts w:ascii="Times New Roman"/>
          <w:b w:val="false"/>
          <w:i w:val="false"/>
          <w:color w:val="000000"/>
          <w:sz w:val="28"/>
        </w:rPr>
        <w:t>
      элемент "KeyInfo" – содержит сертификат подписывающего лица либо сведения для его однозначной идентификации и получения;</w:t>
      </w:r>
    </w:p>
    <w:bookmarkEnd w:id="77"/>
    <w:bookmarkStart w:name="z91" w:id="78"/>
    <w:p>
      <w:pPr>
        <w:spacing w:after="0"/>
        <w:ind w:left="0"/>
        <w:jc w:val="both"/>
      </w:pPr>
      <w:r>
        <w:rPr>
          <w:rFonts w:ascii="Times New Roman"/>
          <w:b w:val="false"/>
          <w:i w:val="false"/>
          <w:color w:val="000000"/>
          <w:sz w:val="28"/>
        </w:rPr>
        <w:t>
      элемент "SignedProperties" – содержит подписываемые свойства ЭЦП.</w:t>
      </w:r>
    </w:p>
    <w:bookmarkEnd w:id="78"/>
    <w:bookmarkStart w:name="z92" w:id="79"/>
    <w:p>
      <w:pPr>
        <w:spacing w:after="0"/>
        <w:ind w:left="0"/>
        <w:jc w:val="both"/>
      </w:pPr>
      <w:r>
        <w:rPr>
          <w:rFonts w:ascii="Times New Roman"/>
          <w:b w:val="false"/>
          <w:i w:val="false"/>
          <w:color w:val="000000"/>
          <w:sz w:val="28"/>
        </w:rPr>
        <w:t>
      2) дополнительные (опциональные) структурные элементы:</w:t>
      </w:r>
    </w:p>
    <w:bookmarkEnd w:id="79"/>
    <w:bookmarkStart w:name="z93" w:id="80"/>
    <w:p>
      <w:pPr>
        <w:spacing w:after="0"/>
        <w:ind w:left="0"/>
        <w:jc w:val="both"/>
      </w:pPr>
      <w:r>
        <w:rPr>
          <w:rFonts w:ascii="Times New Roman"/>
          <w:b w:val="false"/>
          <w:i w:val="false"/>
          <w:color w:val="000000"/>
          <w:sz w:val="28"/>
        </w:rPr>
        <w:t>
      квитанция метки времени – содержит дату и время, сформированные сервисом метки времени, и подтверждает момент формирования ЭЦП;</w:t>
      </w:r>
    </w:p>
    <w:bookmarkEnd w:id="80"/>
    <w:bookmarkStart w:name="z94" w:id="81"/>
    <w:p>
      <w:pPr>
        <w:spacing w:after="0"/>
        <w:ind w:left="0"/>
        <w:jc w:val="both"/>
      </w:pPr>
      <w:r>
        <w:rPr>
          <w:rFonts w:ascii="Times New Roman"/>
          <w:b w:val="false"/>
          <w:i w:val="false"/>
          <w:color w:val="000000"/>
          <w:sz w:val="28"/>
        </w:rPr>
        <w:t>
      сведения об отзыве сертификата – OCSP-квитанция либо CRL;</w:t>
      </w:r>
    </w:p>
    <w:bookmarkEnd w:id="81"/>
    <w:bookmarkStart w:name="z95" w:id="82"/>
    <w:p>
      <w:pPr>
        <w:spacing w:after="0"/>
        <w:ind w:left="0"/>
        <w:jc w:val="both"/>
      </w:pPr>
      <w:r>
        <w:rPr>
          <w:rFonts w:ascii="Times New Roman"/>
          <w:b w:val="false"/>
          <w:i w:val="false"/>
          <w:color w:val="000000"/>
          <w:sz w:val="28"/>
        </w:rPr>
        <w:t>
      иные элементы и атрибуты – могут включаться по усмотрению формирующей стороны при условии, что их использование не препятствует проверке ЭЦП.</w:t>
      </w:r>
    </w:p>
    <w:bookmarkEnd w:id="82"/>
    <w:bookmarkStart w:name="z96" w:id="83"/>
    <w:p>
      <w:pPr>
        <w:spacing w:after="0"/>
        <w:ind w:left="0"/>
        <w:jc w:val="both"/>
      </w:pPr>
      <w:r>
        <w:rPr>
          <w:rFonts w:ascii="Times New Roman"/>
          <w:b w:val="false"/>
          <w:i w:val="false"/>
          <w:color w:val="000000"/>
          <w:sz w:val="28"/>
        </w:rPr>
        <w:t>
      11. При подписании электронного документа допускается использование одной или нескольких ЭЦП.</w:t>
      </w:r>
    </w:p>
    <w:bookmarkEnd w:id="83"/>
    <w:bookmarkStart w:name="z97" w:id="84"/>
    <w:p>
      <w:pPr>
        <w:spacing w:after="0"/>
        <w:ind w:left="0"/>
        <w:jc w:val="both"/>
      </w:pPr>
      <w:r>
        <w:rPr>
          <w:rFonts w:ascii="Times New Roman"/>
          <w:b w:val="false"/>
          <w:i w:val="false"/>
          <w:color w:val="000000"/>
          <w:sz w:val="28"/>
        </w:rPr>
        <w:t>
      12. Электронный документ допускает наличие одной или нескольких ЭЦП. Добавление каждой последующей ЭЦП осуществляется способом, предусмотренным соответствующим форматом ЭЦП, с сохранением возможности проверки ранее сформированных ЭЦП.</w:t>
      </w:r>
    </w:p>
    <w:bookmarkEnd w:id="84"/>
    <w:bookmarkStart w:name="z98" w:id="85"/>
    <w:p>
      <w:pPr>
        <w:spacing w:after="0"/>
        <w:ind w:left="0"/>
        <w:jc w:val="left"/>
      </w:pPr>
      <w:r>
        <w:rPr>
          <w:rFonts w:ascii="Times New Roman"/>
          <w:b/>
          <w:i w:val="false"/>
          <w:color w:val="000000"/>
        </w:rPr>
        <w:t xml:space="preserve"> Параграф 2. Проверка подлинности электронной цифровой подписи</w:t>
      </w:r>
    </w:p>
    <w:bookmarkEnd w:id="85"/>
    <w:bookmarkStart w:name="z99" w:id="86"/>
    <w:p>
      <w:pPr>
        <w:spacing w:after="0"/>
        <w:ind w:left="0"/>
        <w:jc w:val="both"/>
      </w:pPr>
      <w:r>
        <w:rPr>
          <w:rFonts w:ascii="Times New Roman"/>
          <w:b w:val="false"/>
          <w:i w:val="false"/>
          <w:color w:val="000000"/>
          <w:sz w:val="28"/>
        </w:rPr>
        <w:t>
      13. Данные необходимые для проверки ЭЦП в электронном документе:</w:t>
      </w:r>
    </w:p>
    <w:bookmarkEnd w:id="86"/>
    <w:bookmarkStart w:name="z100" w:id="87"/>
    <w:p>
      <w:pPr>
        <w:spacing w:after="0"/>
        <w:ind w:left="0"/>
        <w:jc w:val="both"/>
      </w:pPr>
      <w:r>
        <w:rPr>
          <w:rFonts w:ascii="Times New Roman"/>
          <w:b w:val="false"/>
          <w:i w:val="false"/>
          <w:color w:val="000000"/>
          <w:sz w:val="28"/>
        </w:rPr>
        <w:t>
      1) электронный документ либо его хэш;</w:t>
      </w:r>
    </w:p>
    <w:bookmarkEnd w:id="87"/>
    <w:bookmarkStart w:name="z101" w:id="88"/>
    <w:p>
      <w:pPr>
        <w:spacing w:after="0"/>
        <w:ind w:left="0"/>
        <w:jc w:val="both"/>
      </w:pPr>
      <w:r>
        <w:rPr>
          <w:rFonts w:ascii="Times New Roman"/>
          <w:b w:val="false"/>
          <w:i w:val="false"/>
          <w:color w:val="000000"/>
          <w:sz w:val="28"/>
        </w:rPr>
        <w:t>
      2) ЭЦП электронного документа;</w:t>
      </w:r>
    </w:p>
    <w:bookmarkEnd w:id="88"/>
    <w:bookmarkStart w:name="z102" w:id="89"/>
    <w:p>
      <w:pPr>
        <w:spacing w:after="0"/>
        <w:ind w:left="0"/>
        <w:jc w:val="both"/>
      </w:pPr>
      <w:r>
        <w:rPr>
          <w:rFonts w:ascii="Times New Roman"/>
          <w:b w:val="false"/>
          <w:i w:val="false"/>
          <w:color w:val="000000"/>
          <w:sz w:val="28"/>
        </w:rPr>
        <w:t>
      3) сертификат подписывающего лица;</w:t>
      </w:r>
    </w:p>
    <w:bookmarkEnd w:id="89"/>
    <w:bookmarkStart w:name="z103" w:id="90"/>
    <w:p>
      <w:pPr>
        <w:spacing w:after="0"/>
        <w:ind w:left="0"/>
        <w:jc w:val="both"/>
      </w:pPr>
      <w:r>
        <w:rPr>
          <w:rFonts w:ascii="Times New Roman"/>
          <w:b w:val="false"/>
          <w:i w:val="false"/>
          <w:color w:val="000000"/>
          <w:sz w:val="28"/>
        </w:rPr>
        <w:t>
      4) сертификат удостоверяющего центра, выдавшего сертификат подписывающего лица, а также промежуточные сертификаты удостоверяющих центров до доверенного корневого сертификата удостоверяющего центра;</w:t>
      </w:r>
    </w:p>
    <w:bookmarkEnd w:id="90"/>
    <w:bookmarkStart w:name="z104" w:id="91"/>
    <w:p>
      <w:pPr>
        <w:spacing w:after="0"/>
        <w:ind w:left="0"/>
        <w:jc w:val="both"/>
      </w:pPr>
      <w:r>
        <w:rPr>
          <w:rFonts w:ascii="Times New Roman"/>
          <w:b w:val="false"/>
          <w:i w:val="false"/>
          <w:color w:val="000000"/>
          <w:sz w:val="28"/>
        </w:rPr>
        <w:t>
      5) квитанция метки времени – опционально;</w:t>
      </w:r>
    </w:p>
    <w:bookmarkEnd w:id="91"/>
    <w:bookmarkStart w:name="z105" w:id="92"/>
    <w:p>
      <w:pPr>
        <w:spacing w:after="0"/>
        <w:ind w:left="0"/>
        <w:jc w:val="both"/>
      </w:pPr>
      <w:r>
        <w:rPr>
          <w:rFonts w:ascii="Times New Roman"/>
          <w:b w:val="false"/>
          <w:i w:val="false"/>
          <w:color w:val="000000"/>
          <w:sz w:val="28"/>
        </w:rPr>
        <w:t>
      6) OCSP-квитанция либо CRL (delta CRL при наличии) удостоверяющего центра, выдавшего сертификат подписывающего лица.</w:t>
      </w:r>
    </w:p>
    <w:bookmarkEnd w:id="92"/>
    <w:bookmarkStart w:name="z106" w:id="93"/>
    <w:p>
      <w:pPr>
        <w:spacing w:after="0"/>
        <w:ind w:left="0"/>
        <w:jc w:val="both"/>
      </w:pPr>
      <w:r>
        <w:rPr>
          <w:rFonts w:ascii="Times New Roman"/>
          <w:b w:val="false"/>
          <w:i w:val="false"/>
          <w:color w:val="000000"/>
          <w:sz w:val="28"/>
        </w:rPr>
        <w:t>
      14. Проверка подлинности ЭЦП включает:</w:t>
      </w:r>
    </w:p>
    <w:bookmarkEnd w:id="93"/>
    <w:bookmarkStart w:name="z107" w:id="94"/>
    <w:p>
      <w:pPr>
        <w:spacing w:after="0"/>
        <w:ind w:left="0"/>
        <w:jc w:val="both"/>
      </w:pPr>
      <w:r>
        <w:rPr>
          <w:rFonts w:ascii="Times New Roman"/>
          <w:b w:val="false"/>
          <w:i w:val="false"/>
          <w:color w:val="000000"/>
          <w:sz w:val="28"/>
        </w:rPr>
        <w:t>
      1) криптографическую проверку ЭЦП в электронном документе;</w:t>
      </w:r>
    </w:p>
    <w:bookmarkEnd w:id="94"/>
    <w:bookmarkStart w:name="z108" w:id="95"/>
    <w:p>
      <w:pPr>
        <w:spacing w:after="0"/>
        <w:ind w:left="0"/>
        <w:jc w:val="both"/>
      </w:pPr>
      <w:r>
        <w:rPr>
          <w:rFonts w:ascii="Times New Roman"/>
          <w:b w:val="false"/>
          <w:i w:val="false"/>
          <w:color w:val="000000"/>
          <w:sz w:val="28"/>
        </w:rPr>
        <w:t>
      2) проверку сертификата подписывающего лица;</w:t>
      </w:r>
    </w:p>
    <w:bookmarkEnd w:id="95"/>
    <w:bookmarkStart w:name="z109" w:id="96"/>
    <w:p>
      <w:pPr>
        <w:spacing w:after="0"/>
        <w:ind w:left="0"/>
        <w:jc w:val="both"/>
      </w:pPr>
      <w:r>
        <w:rPr>
          <w:rFonts w:ascii="Times New Roman"/>
          <w:b w:val="false"/>
          <w:i w:val="false"/>
          <w:color w:val="000000"/>
          <w:sz w:val="28"/>
        </w:rPr>
        <w:t>
      3) проверку квитанции метки времени (при наличии).</w:t>
      </w:r>
    </w:p>
    <w:bookmarkEnd w:id="96"/>
    <w:bookmarkStart w:name="z110" w:id="97"/>
    <w:p>
      <w:pPr>
        <w:spacing w:after="0"/>
        <w:ind w:left="0"/>
        <w:jc w:val="both"/>
      </w:pPr>
      <w:r>
        <w:rPr>
          <w:rFonts w:ascii="Times New Roman"/>
          <w:b w:val="false"/>
          <w:i w:val="false"/>
          <w:color w:val="000000"/>
          <w:sz w:val="28"/>
        </w:rPr>
        <w:t>
      При отсутствии квитанции метки времени проверка подлинности ЭЦП осуществляется на момент проверки ЭЦП. При наличии действительной квитанции метки времени проверка подлинности ЭЦП осуществляется на момент времени, указанный в квитанции метки времени.</w:t>
      </w:r>
    </w:p>
    <w:bookmarkEnd w:id="97"/>
    <w:bookmarkStart w:name="z111" w:id="98"/>
    <w:p>
      <w:pPr>
        <w:spacing w:after="0"/>
        <w:ind w:left="0"/>
        <w:jc w:val="both"/>
      </w:pPr>
      <w:r>
        <w:rPr>
          <w:rFonts w:ascii="Times New Roman"/>
          <w:b w:val="false"/>
          <w:i w:val="false"/>
          <w:color w:val="000000"/>
          <w:sz w:val="28"/>
        </w:rPr>
        <w:t>
      15. Криптографическая проверка ЭЦП осуществляется путем сопоставления значения хэша проверяемых данных с результатом выполнения алгоритма проверки ЭЦП с использованием открытого ключа ЭЦП, содержащегося в соответствующем сертификате.</w:t>
      </w:r>
    </w:p>
    <w:bookmarkEnd w:id="98"/>
    <w:bookmarkStart w:name="z112" w:id="99"/>
    <w:p>
      <w:pPr>
        <w:spacing w:after="0"/>
        <w:ind w:left="0"/>
        <w:jc w:val="both"/>
      </w:pPr>
      <w:r>
        <w:rPr>
          <w:rFonts w:ascii="Times New Roman"/>
          <w:b w:val="false"/>
          <w:i w:val="false"/>
          <w:color w:val="000000"/>
          <w:sz w:val="28"/>
        </w:rPr>
        <w:t>
      Проверка ЭЦП в электронном документе осуществляется с использованием открытого ключа ЭЦП, содержащегося в сертификате подписывающего лица. Электронный документ содержит сертификат каждого подписывающего лица либо обеспечивает возможность его получения. Отсутствие указанного сертификата исключает возможность проверки ЭЦП.</w:t>
      </w:r>
    </w:p>
    <w:bookmarkEnd w:id="99"/>
    <w:bookmarkStart w:name="z113" w:id="100"/>
    <w:p>
      <w:pPr>
        <w:spacing w:after="0"/>
        <w:ind w:left="0"/>
        <w:jc w:val="both"/>
      </w:pPr>
      <w:r>
        <w:rPr>
          <w:rFonts w:ascii="Times New Roman"/>
          <w:b w:val="false"/>
          <w:i w:val="false"/>
          <w:color w:val="000000"/>
          <w:sz w:val="28"/>
        </w:rPr>
        <w:t>
      Несоответствие результата криптографической проверки ЭЦП значению хэша проверяемых данных означает отрицательный результат проверки подлинности ЭЦП.</w:t>
      </w:r>
    </w:p>
    <w:bookmarkEnd w:id="100"/>
    <w:bookmarkStart w:name="z114" w:id="101"/>
    <w:p>
      <w:pPr>
        <w:spacing w:after="0"/>
        <w:ind w:left="0"/>
        <w:jc w:val="both"/>
      </w:pPr>
      <w:r>
        <w:rPr>
          <w:rFonts w:ascii="Times New Roman"/>
          <w:b w:val="false"/>
          <w:i w:val="false"/>
          <w:color w:val="000000"/>
          <w:sz w:val="28"/>
        </w:rPr>
        <w:t>
      16. Проверка сертификата подписывающего лица осуществляется с использованием средств криптографической защиты информации и включает:</w:t>
      </w:r>
    </w:p>
    <w:bookmarkEnd w:id="101"/>
    <w:bookmarkStart w:name="z115" w:id="102"/>
    <w:p>
      <w:pPr>
        <w:spacing w:after="0"/>
        <w:ind w:left="0"/>
        <w:jc w:val="both"/>
      </w:pPr>
      <w:r>
        <w:rPr>
          <w:rFonts w:ascii="Times New Roman"/>
          <w:b w:val="false"/>
          <w:i w:val="false"/>
          <w:color w:val="000000"/>
          <w:sz w:val="28"/>
        </w:rPr>
        <w:t>
      1) проверку срока действия сертификата на момент проверки подлинности ЭЦП, включая все сертификаты в цепочке сертификации от проверяемого сертификата до доверенного корневого сертификата удостоверяющего центра с учетом промежуточных сертификатов. Истечение срока действия хотя бы одного сертификата в цепочке сертификации на момент проверки подлинности ЭЦП означает отрицательный результат проверки;</w:t>
      </w:r>
    </w:p>
    <w:bookmarkEnd w:id="102"/>
    <w:bookmarkStart w:name="z116" w:id="103"/>
    <w:p>
      <w:pPr>
        <w:spacing w:after="0"/>
        <w:ind w:left="0"/>
        <w:jc w:val="both"/>
      </w:pPr>
      <w:r>
        <w:rPr>
          <w:rFonts w:ascii="Times New Roman"/>
          <w:b w:val="false"/>
          <w:i w:val="false"/>
          <w:color w:val="000000"/>
          <w:sz w:val="28"/>
        </w:rPr>
        <w:t>
      2) проверку отсутствия сведений об отзыве сертификата посредством сервиса OCSP либо CRL (delta CRL при наличии) согласно пунктам 18 и 19 настоящих Правил. Наличие сведений об отзыве сертификата означает отрицательный результат проверки;</w:t>
      </w:r>
    </w:p>
    <w:bookmarkEnd w:id="103"/>
    <w:bookmarkStart w:name="z117" w:id="104"/>
    <w:p>
      <w:pPr>
        <w:spacing w:after="0"/>
        <w:ind w:left="0"/>
        <w:jc w:val="both"/>
      </w:pPr>
      <w:r>
        <w:rPr>
          <w:rFonts w:ascii="Times New Roman"/>
          <w:b w:val="false"/>
          <w:i w:val="false"/>
          <w:color w:val="000000"/>
          <w:sz w:val="28"/>
        </w:rPr>
        <w:t>
      3) проверку корректности построения цепочки сертификации от сертификата подписывающего лица до доверенного корневого сертификата удостоверяющего центра, включая промежуточные сертификаты удостоверяющих центров. Некорректное построение цепочки сертификации означает отрицательный результат проверки;</w:t>
      </w:r>
    </w:p>
    <w:bookmarkEnd w:id="104"/>
    <w:bookmarkStart w:name="z118" w:id="105"/>
    <w:p>
      <w:pPr>
        <w:spacing w:after="0"/>
        <w:ind w:left="0"/>
        <w:jc w:val="both"/>
      </w:pPr>
      <w:r>
        <w:rPr>
          <w:rFonts w:ascii="Times New Roman"/>
          <w:b w:val="false"/>
          <w:i w:val="false"/>
          <w:color w:val="000000"/>
          <w:sz w:val="28"/>
        </w:rPr>
        <w:t>
      4) проверку соответствия номера политики сертификата и назначения ключа, определяемого расширениями Key Usage и Extended Key Usage, условиям использования сертификата, установленным политикой применения сертификатов соответствующего удостоверяющего центра.</w:t>
      </w:r>
    </w:p>
    <w:bookmarkEnd w:id="105"/>
    <w:bookmarkStart w:name="z119" w:id="106"/>
    <w:p>
      <w:pPr>
        <w:spacing w:after="0"/>
        <w:ind w:left="0"/>
        <w:jc w:val="both"/>
      </w:pPr>
      <w:r>
        <w:rPr>
          <w:rFonts w:ascii="Times New Roman"/>
          <w:b w:val="false"/>
          <w:i w:val="false"/>
          <w:color w:val="000000"/>
          <w:sz w:val="28"/>
        </w:rPr>
        <w:t>
      Отрицательный результат хотя бы одной из проверок, предусмотренных настоящим пунктом, означает отрицательный результат проверки подлинности ЭЦП.</w:t>
      </w:r>
    </w:p>
    <w:bookmarkEnd w:id="106"/>
    <w:bookmarkStart w:name="z120" w:id="107"/>
    <w:p>
      <w:pPr>
        <w:spacing w:after="0"/>
        <w:ind w:left="0"/>
        <w:jc w:val="both"/>
      </w:pPr>
      <w:r>
        <w:rPr>
          <w:rFonts w:ascii="Times New Roman"/>
          <w:b w:val="false"/>
          <w:i w:val="false"/>
          <w:color w:val="000000"/>
          <w:sz w:val="28"/>
        </w:rPr>
        <w:t>
      17. Проверка квитанции метки времени включает:</w:t>
      </w:r>
    </w:p>
    <w:bookmarkEnd w:id="107"/>
    <w:bookmarkStart w:name="z121" w:id="108"/>
    <w:p>
      <w:pPr>
        <w:spacing w:after="0"/>
        <w:ind w:left="0"/>
        <w:jc w:val="both"/>
      </w:pPr>
      <w:r>
        <w:rPr>
          <w:rFonts w:ascii="Times New Roman"/>
          <w:b w:val="false"/>
          <w:i w:val="false"/>
          <w:color w:val="000000"/>
          <w:sz w:val="28"/>
        </w:rPr>
        <w:t>
      1) проверку подлинности ЭЦП квитанции метки времени в соответствии с пунктами 15 и 16 настоящих Правил;</w:t>
      </w:r>
    </w:p>
    <w:bookmarkEnd w:id="108"/>
    <w:bookmarkStart w:name="z122" w:id="109"/>
    <w:p>
      <w:pPr>
        <w:spacing w:after="0"/>
        <w:ind w:left="0"/>
        <w:jc w:val="both"/>
      </w:pPr>
      <w:r>
        <w:rPr>
          <w:rFonts w:ascii="Times New Roman"/>
          <w:b w:val="false"/>
          <w:i w:val="false"/>
          <w:color w:val="000000"/>
          <w:sz w:val="28"/>
        </w:rPr>
        <w:t>
      2) проверку наличия сведений, позволяющих определить сервис метки времени либо удостоверяющий центр, сформировавший и подписавший метку времени, а также подтверждение того, что сертификат сервиса метки времени выдан удостоверяющим центром, выдавшим проверяемый сертификат;</w:t>
      </w:r>
    </w:p>
    <w:bookmarkEnd w:id="109"/>
    <w:bookmarkStart w:name="z123" w:id="110"/>
    <w:p>
      <w:pPr>
        <w:spacing w:after="0"/>
        <w:ind w:left="0"/>
        <w:jc w:val="both"/>
      </w:pPr>
      <w:r>
        <w:rPr>
          <w:rFonts w:ascii="Times New Roman"/>
          <w:b w:val="false"/>
          <w:i w:val="false"/>
          <w:color w:val="000000"/>
          <w:sz w:val="28"/>
        </w:rPr>
        <w:t>
      3) проверку наличия в сертификате сервиса метки времени назначения ключа, предназначенного для формирования квитанций метки времени (timeStamping);</w:t>
      </w:r>
    </w:p>
    <w:bookmarkEnd w:id="110"/>
    <w:bookmarkStart w:name="z124" w:id="111"/>
    <w:p>
      <w:pPr>
        <w:spacing w:after="0"/>
        <w:ind w:left="0"/>
        <w:jc w:val="both"/>
      </w:pPr>
      <w:r>
        <w:rPr>
          <w:rFonts w:ascii="Times New Roman"/>
          <w:b w:val="false"/>
          <w:i w:val="false"/>
          <w:color w:val="000000"/>
          <w:sz w:val="28"/>
        </w:rPr>
        <w:t>
      4) проверку соответствия значения хэша, содержащегося в квитанции метки времени, значению хэша данных, в отношении которых сформирована ЭЦП.</w:t>
      </w:r>
    </w:p>
    <w:bookmarkEnd w:id="111"/>
    <w:bookmarkStart w:name="z125" w:id="112"/>
    <w:p>
      <w:pPr>
        <w:spacing w:after="0"/>
        <w:ind w:left="0"/>
        <w:jc w:val="both"/>
      </w:pPr>
      <w:r>
        <w:rPr>
          <w:rFonts w:ascii="Times New Roman"/>
          <w:b w:val="false"/>
          <w:i w:val="false"/>
          <w:color w:val="000000"/>
          <w:sz w:val="28"/>
        </w:rPr>
        <w:t>
      Квитанция метки времени признается действительной по результатам всех проверок, предусмотренных настоящим пунктом. Отрицательный результат проверки квитанции метки времени означает отрицательный результат проверки подлинности ЭЦП.</w:t>
      </w:r>
    </w:p>
    <w:bookmarkEnd w:id="112"/>
    <w:bookmarkStart w:name="z126" w:id="113"/>
    <w:p>
      <w:pPr>
        <w:spacing w:after="0"/>
        <w:ind w:left="0"/>
        <w:jc w:val="both"/>
      </w:pPr>
      <w:r>
        <w:rPr>
          <w:rFonts w:ascii="Times New Roman"/>
          <w:b w:val="false"/>
          <w:i w:val="false"/>
          <w:color w:val="000000"/>
          <w:sz w:val="28"/>
        </w:rPr>
        <w:t>
      18. Проверка CRL и delta CRL (при наличии) включает:</w:t>
      </w:r>
    </w:p>
    <w:bookmarkEnd w:id="113"/>
    <w:bookmarkStart w:name="z127" w:id="114"/>
    <w:p>
      <w:pPr>
        <w:spacing w:after="0"/>
        <w:ind w:left="0"/>
        <w:jc w:val="both"/>
      </w:pPr>
      <w:r>
        <w:rPr>
          <w:rFonts w:ascii="Times New Roman"/>
          <w:b w:val="false"/>
          <w:i w:val="false"/>
          <w:color w:val="000000"/>
          <w:sz w:val="28"/>
        </w:rPr>
        <w:t>
      1) проверку соответствия структуры CRL формату X.509, корректности ASN.1/DER-кодирования;</w:t>
      </w:r>
    </w:p>
    <w:bookmarkEnd w:id="114"/>
    <w:bookmarkStart w:name="z128" w:id="115"/>
    <w:p>
      <w:pPr>
        <w:spacing w:after="0"/>
        <w:ind w:left="0"/>
        <w:jc w:val="both"/>
      </w:pPr>
      <w:r>
        <w:rPr>
          <w:rFonts w:ascii="Times New Roman"/>
          <w:b w:val="false"/>
          <w:i w:val="false"/>
          <w:color w:val="000000"/>
          <w:sz w:val="28"/>
        </w:rPr>
        <w:t>
      2) проверку наличия сведений, позволяющих определить удостоверяющий центр, сформировавший и подписавший CRL;</w:t>
      </w:r>
    </w:p>
    <w:bookmarkEnd w:id="115"/>
    <w:bookmarkStart w:name="z129" w:id="116"/>
    <w:p>
      <w:pPr>
        <w:spacing w:after="0"/>
        <w:ind w:left="0"/>
        <w:jc w:val="both"/>
      </w:pPr>
      <w:r>
        <w:rPr>
          <w:rFonts w:ascii="Times New Roman"/>
          <w:b w:val="false"/>
          <w:i w:val="false"/>
          <w:color w:val="000000"/>
          <w:sz w:val="28"/>
        </w:rPr>
        <w:t>
      3) проверку соответствия CRL проверяемому сертификату путем установления, что CRL сформирован удостоверяющим центром, выдавшим проверяемый сертификат;</w:t>
      </w:r>
    </w:p>
    <w:bookmarkEnd w:id="116"/>
    <w:bookmarkStart w:name="z130" w:id="117"/>
    <w:p>
      <w:pPr>
        <w:spacing w:after="0"/>
        <w:ind w:left="0"/>
        <w:jc w:val="both"/>
      </w:pPr>
      <w:r>
        <w:rPr>
          <w:rFonts w:ascii="Times New Roman"/>
          <w:b w:val="false"/>
          <w:i w:val="false"/>
          <w:color w:val="000000"/>
          <w:sz w:val="28"/>
        </w:rPr>
        <w:t>
      4) криптографическую проверку ЭЦП CRL путем сопоставления значения хэша подписываемых данных CRL (TBSCertList) с результатом выполнения алгоритма проверки ЭЦП CRL с использованием открытого ключа ЭЦП, содержащегося в сертификате удостоверяющего центра, выпустившего соответствующий CRL. Несоответствие результата криптографической проверки ЭЦП CRL значению хэша подписываемых данных CRL означает отрицательный результат проверки CRL;</w:t>
      </w:r>
    </w:p>
    <w:bookmarkEnd w:id="117"/>
    <w:bookmarkStart w:name="z131" w:id="118"/>
    <w:p>
      <w:pPr>
        <w:spacing w:after="0"/>
        <w:ind w:left="0"/>
        <w:jc w:val="both"/>
      </w:pPr>
      <w:r>
        <w:rPr>
          <w:rFonts w:ascii="Times New Roman"/>
          <w:b w:val="false"/>
          <w:i w:val="false"/>
          <w:color w:val="000000"/>
          <w:sz w:val="28"/>
        </w:rPr>
        <w:t>
      5) проверку периода действия CRL или delta CRL на момент проверки подлинности ЭЦП. Истечение периода действия CRL или delta CRL на момент проверки подлинности ЭЦП означает отрицательный результат проверки.</w:t>
      </w:r>
    </w:p>
    <w:bookmarkEnd w:id="118"/>
    <w:bookmarkStart w:name="z132" w:id="119"/>
    <w:p>
      <w:pPr>
        <w:spacing w:after="0"/>
        <w:ind w:left="0"/>
        <w:jc w:val="both"/>
      </w:pPr>
      <w:r>
        <w:rPr>
          <w:rFonts w:ascii="Times New Roman"/>
          <w:b w:val="false"/>
          <w:i w:val="false"/>
          <w:color w:val="000000"/>
          <w:sz w:val="28"/>
        </w:rPr>
        <w:t>
      При положительном результате всех проверок, предусмотренных настоящим пунктом, результат проверки CRL или delta CRL является положительным. При отрицательном результате хотя бы одной из указанных проверок результат проверки CRL или delta CRL является отрицательным.</w:t>
      </w:r>
    </w:p>
    <w:bookmarkEnd w:id="119"/>
    <w:bookmarkStart w:name="z133" w:id="120"/>
    <w:p>
      <w:pPr>
        <w:spacing w:after="0"/>
        <w:ind w:left="0"/>
        <w:jc w:val="both"/>
      </w:pPr>
      <w:r>
        <w:rPr>
          <w:rFonts w:ascii="Times New Roman"/>
          <w:b w:val="false"/>
          <w:i w:val="false"/>
          <w:color w:val="000000"/>
          <w:sz w:val="28"/>
        </w:rPr>
        <w:t>
      19. Проверка OCSP-квитанции включает:</w:t>
      </w:r>
    </w:p>
    <w:bookmarkEnd w:id="120"/>
    <w:bookmarkStart w:name="z134" w:id="121"/>
    <w:p>
      <w:pPr>
        <w:spacing w:after="0"/>
        <w:ind w:left="0"/>
        <w:jc w:val="both"/>
      </w:pPr>
      <w:r>
        <w:rPr>
          <w:rFonts w:ascii="Times New Roman"/>
          <w:b w:val="false"/>
          <w:i w:val="false"/>
          <w:color w:val="000000"/>
          <w:sz w:val="28"/>
        </w:rPr>
        <w:t>
      1) проверку соответствия структуры OCSP-квитанции требованиям стандарта OCSP, корректности ASN.1/DER-кодирования;</w:t>
      </w:r>
    </w:p>
    <w:bookmarkEnd w:id="121"/>
    <w:bookmarkStart w:name="z135" w:id="122"/>
    <w:p>
      <w:pPr>
        <w:spacing w:after="0"/>
        <w:ind w:left="0"/>
        <w:jc w:val="both"/>
      </w:pPr>
      <w:r>
        <w:rPr>
          <w:rFonts w:ascii="Times New Roman"/>
          <w:b w:val="false"/>
          <w:i w:val="false"/>
          <w:color w:val="000000"/>
          <w:sz w:val="28"/>
        </w:rPr>
        <w:t>
      2) проверку наличия сведений, позволяющих определить сервис OCSP либо удостоверяющий центр, сформировавший и подписавший OCSP-квитанцию, а также подтверждение того, что сертификат сервиса OCSP выдан удостоверяющим центром, выдавшим проверяемый сертификат;</w:t>
      </w:r>
    </w:p>
    <w:bookmarkEnd w:id="122"/>
    <w:bookmarkStart w:name="z136" w:id="123"/>
    <w:p>
      <w:pPr>
        <w:spacing w:after="0"/>
        <w:ind w:left="0"/>
        <w:jc w:val="both"/>
      </w:pPr>
      <w:r>
        <w:rPr>
          <w:rFonts w:ascii="Times New Roman"/>
          <w:b w:val="false"/>
          <w:i w:val="false"/>
          <w:color w:val="000000"/>
          <w:sz w:val="28"/>
        </w:rPr>
        <w:t>
      3) проверку соответствия OCSP-квитанции проверяемому сертификату путем сопоставления идентификаторов сертификата, указанных в OCSP-квитанции, с данными проверяемого сертификата;</w:t>
      </w:r>
    </w:p>
    <w:bookmarkEnd w:id="123"/>
    <w:bookmarkStart w:name="z137" w:id="124"/>
    <w:p>
      <w:pPr>
        <w:spacing w:after="0"/>
        <w:ind w:left="0"/>
        <w:jc w:val="both"/>
      </w:pPr>
      <w:r>
        <w:rPr>
          <w:rFonts w:ascii="Times New Roman"/>
          <w:b w:val="false"/>
          <w:i w:val="false"/>
          <w:color w:val="000000"/>
          <w:sz w:val="28"/>
        </w:rPr>
        <w:t>
      4) криптографическую проверку ЭЦП OCSP-квитанции путем сопоставления значения хэша подписываемых данных OCSP-квитанции с результатом выполнения алгоритма проверки ЭЦП OCSP-квитанции с использованием открытого ключа ЭЦП, содержащегося в сертификате сервиса OCSP либо удостоверяющего центра, подписавшего OCSP-квитанцию. Несоответствие результата криптографической проверки ЭЦП OCSP-квитанции значению хэша подписываемых данных OCSP-квитанции означает отрицательный результат проверки OCSP-квитанции;</w:t>
      </w:r>
    </w:p>
    <w:bookmarkEnd w:id="124"/>
    <w:bookmarkStart w:name="z138" w:id="125"/>
    <w:p>
      <w:pPr>
        <w:spacing w:after="0"/>
        <w:ind w:left="0"/>
        <w:jc w:val="both"/>
      </w:pPr>
      <w:r>
        <w:rPr>
          <w:rFonts w:ascii="Times New Roman"/>
          <w:b w:val="false"/>
          <w:i w:val="false"/>
          <w:color w:val="000000"/>
          <w:sz w:val="28"/>
        </w:rPr>
        <w:t>
      5) проверку наличия в сертификате сервиса OCSP либо удостоверяющего центра назначения ключа, предназначенного для подписания OCSP-квитанций (OCSPSigning);</w:t>
      </w:r>
    </w:p>
    <w:bookmarkEnd w:id="125"/>
    <w:bookmarkStart w:name="z139" w:id="126"/>
    <w:p>
      <w:pPr>
        <w:spacing w:after="0"/>
        <w:ind w:left="0"/>
        <w:jc w:val="both"/>
      </w:pPr>
      <w:r>
        <w:rPr>
          <w:rFonts w:ascii="Times New Roman"/>
          <w:b w:val="false"/>
          <w:i w:val="false"/>
          <w:color w:val="000000"/>
          <w:sz w:val="28"/>
        </w:rPr>
        <w:t>
      6) проверку того, что момент предоставления OCSP-квитанции (thisUpdate) не предшествует моменту проверки подлинности ЭЦП. Статус, содержащийся в OCSP-квитанции, характеризует состояние проверяемого сертификата исключительно на момент еҰ предоставления и не распространяется на иные моменты времени.</w:t>
      </w:r>
    </w:p>
    <w:bookmarkEnd w:id="126"/>
    <w:bookmarkStart w:name="z140" w:id="127"/>
    <w:p>
      <w:pPr>
        <w:spacing w:after="0"/>
        <w:ind w:left="0"/>
        <w:jc w:val="both"/>
      </w:pPr>
      <w:r>
        <w:rPr>
          <w:rFonts w:ascii="Times New Roman"/>
          <w:b w:val="false"/>
          <w:i w:val="false"/>
          <w:color w:val="000000"/>
          <w:sz w:val="28"/>
        </w:rPr>
        <w:t>
      7) проверку наличия в OCSP-квитанции статуса "good" для проверяемого сертификата. Наличие статуса "revoked" означает отрицательный результат проверки. Статус "unknown" означает отсутствие у сервиса OCSP сведений о статусе проверяемого сертификата; поскольку статус "unknown" не позволяет подтвердить отсутствие сведений об отзыве сертификата, его наличие также означает отрицательный результат проверки.</w:t>
      </w:r>
    </w:p>
    <w:bookmarkEnd w:id="127"/>
    <w:bookmarkStart w:name="z141" w:id="128"/>
    <w:p>
      <w:pPr>
        <w:spacing w:after="0"/>
        <w:ind w:left="0"/>
        <w:jc w:val="both"/>
      </w:pPr>
      <w:r>
        <w:rPr>
          <w:rFonts w:ascii="Times New Roman"/>
          <w:b w:val="false"/>
          <w:i w:val="false"/>
          <w:color w:val="000000"/>
          <w:sz w:val="28"/>
        </w:rPr>
        <w:t>
      При положительном результате всех проверок, предусмотренных настоящим пунктом, результат проверки OCSP-квитанции является положительным. При отрицательном результате хотя бы одной из указанных проверок результат проверки OCSP-квитанции является отрицательным.</w:t>
      </w:r>
    </w:p>
    <w:bookmarkEnd w:id="128"/>
    <w:bookmarkStart w:name="z142" w:id="129"/>
    <w:p>
      <w:pPr>
        <w:spacing w:after="0"/>
        <w:ind w:left="0"/>
        <w:jc w:val="both"/>
      </w:pPr>
      <w:r>
        <w:rPr>
          <w:rFonts w:ascii="Times New Roman"/>
          <w:b w:val="false"/>
          <w:i w:val="false"/>
          <w:color w:val="000000"/>
          <w:sz w:val="28"/>
        </w:rPr>
        <w:t>
      20. При положительном результате проверки подлинности ЭЦП и соблюдении условий, предусмотренных пунктом 2 статьи 49 Кодекса, электронный документ, признается равнозначным документу, подписанному собственноручной подписью, и имеет одинаковые юридические последствия.</w:t>
      </w:r>
    </w:p>
    <w:bookmarkEnd w:id="129"/>
    <w:bookmarkStart w:name="z143" w:id="130"/>
    <w:p>
      <w:pPr>
        <w:spacing w:after="0"/>
        <w:ind w:left="0"/>
        <w:jc w:val="both"/>
      </w:pPr>
      <w:r>
        <w:rPr>
          <w:rFonts w:ascii="Times New Roman"/>
          <w:b w:val="false"/>
          <w:i w:val="false"/>
          <w:color w:val="000000"/>
          <w:sz w:val="28"/>
        </w:rPr>
        <w:t>
      21. Отрицательный результат проверки полномочий лица, подписавшего электронный документ от имени юридического лица в соответствии с пунктом 2 статьи 61 Кодекса, не влияет на результат проверки подлинности ЭЦП. Правовые последствия отсутствия соответствующих полномочий определяются законодательством Республики Казахстан.</w:t>
      </w:r>
    </w:p>
    <w:bookmarkEnd w:id="130"/>
    <w:bookmarkStart w:name="z144" w:id="131"/>
    <w:p>
      <w:pPr>
        <w:spacing w:after="0"/>
        <w:ind w:left="0"/>
        <w:jc w:val="both"/>
      </w:pPr>
      <w:r>
        <w:rPr>
          <w:rFonts w:ascii="Times New Roman"/>
          <w:b w:val="false"/>
          <w:i w:val="false"/>
          <w:color w:val="000000"/>
          <w:sz w:val="28"/>
        </w:rPr>
        <w:t>
      22. При формировании и (или) проверке подлинности ЭЦП с использованием цифровой системы владелец цифровой системы обеспечивает соблюдение требований настоящих Правил к процессам формирования и (или) проверки подлинности ЭЦП.</w:t>
      </w:r>
    </w:p>
    <w:bookmarkEnd w:id="131"/>
    <w:bookmarkStart w:name="z145" w:id="132"/>
    <w:p>
      <w:pPr>
        <w:spacing w:after="0"/>
        <w:ind w:left="0"/>
        <w:jc w:val="both"/>
      </w:pPr>
      <w:r>
        <w:rPr>
          <w:rFonts w:ascii="Times New Roman"/>
          <w:b w:val="false"/>
          <w:i w:val="false"/>
          <w:color w:val="000000"/>
          <w:sz w:val="28"/>
        </w:rPr>
        <w:t>
      23. В случае формирования ЭЦП владельцем сертификата самостоятельно, без использования цифровой системы, соблюдение требований настоящих Правил при формировании ЭЦП обеспечивается владельцем сертификата. В случае проверки подлинности ЭЦП без использования цифровой системы соблюдение требований настоящих Правил при проверке подлинности ЭЦП обеспечивается лицом, осуществляющим такую проверку.</w:t>
      </w:r>
    </w:p>
    <w:bookmarkEnd w:id="132"/>
    <w:bookmarkStart w:name="z146" w:id="133"/>
    <w:p>
      <w:pPr>
        <w:spacing w:after="0"/>
        <w:ind w:left="0"/>
        <w:jc w:val="both"/>
      </w:pPr>
      <w:r>
        <w:rPr>
          <w:rFonts w:ascii="Times New Roman"/>
          <w:b w:val="false"/>
          <w:i w:val="false"/>
          <w:color w:val="000000"/>
          <w:sz w:val="28"/>
        </w:rPr>
        <w:t>
      24. Визуальная форма представления сведений об ЭЦП, включая штрих-код, двухмерный матричный штриховой код или графическое изображение, не используется в качестве самостоятельного средства проверки подлинности ЭЦП в соответствии с настоящими Правилами.</w:t>
      </w:r>
    </w:p>
    <w:bookmarkEnd w:id="133"/>
    <w:bookmarkStart w:name="z147" w:id="134"/>
    <w:p>
      <w:pPr>
        <w:spacing w:after="0"/>
        <w:ind w:left="0"/>
        <w:jc w:val="both"/>
      </w:pPr>
      <w:r>
        <w:rPr>
          <w:rFonts w:ascii="Times New Roman"/>
          <w:b w:val="false"/>
          <w:i w:val="false"/>
          <w:color w:val="000000"/>
          <w:sz w:val="28"/>
        </w:rPr>
        <w:t xml:space="preserve">
      В случае если цифровая система при подписании электронного документа формирует штрих-код, двухмерный матричный штриховой код или графическое изображение, содержащие электронный документ либо сведения, необходимые для его получения, такая цифровая система обеспечивает возможность получения электронного документа, в отношении которого осуществляется проверка подлинности ЭЦП,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61 Кодекса и настоящими Правилами.</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