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f2aeda" w14:textId="1f2aed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здравоохранения Республики Казахстан от 15 декабря 2020 года № ҚР ДСМ-278/2020 "Об утверждении правил поощрения работников субъектов здравоохранения, оказывающих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здравоохранения Республики Казахстан от 11 августа 2026 года № 91. Зарегистрирован в Министерстве юстиции Республики Казахстан 13 августа 2026 года № 39579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15 декабря 2020 года № ҚР ДСМ-278/2020 "Об утверждении правил поощрения работников субъектов здравоохранения, оказывающих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страхования" (зарегистрирован в Реестре государственной регистрации нормативных правовых актов под № 21824) следующие изменения: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поощрения работников субъектов здравоохранения, оказывающих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страхования, утвержденных согласно приложению 1 к указанному приказу: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К значению индикатора материнской смертности применяется поправочный коэффициент Pr в зависимости от количества беременных женщин на участке за отчетный квартал: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1,0 - на участке 30 и более беременных,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0,8 - на участке 20–29 беременных,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0,6 - на участке 10–19 беременных,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0,4 - на участке менее 9 беременных,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0 - на участке нет беременных.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Расчет индикатора младенческой смертности проводится при отсутствии случаев младенческой смертности, подтвержденных экспертами Фонда о предотвратимости на уровне ПМСП за исключением нозологий согласно таблице 2 Приложения 5 к настоящим Правилам, проводится за отчетный период суммарно по значениям подиндикаторов по следующей формуле: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Ti2 = (Ui2.1+Ui2.2) * Pc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Ti2 - Общее количество баллов по индикатору "Младенческая смертность, предотвратимая на уровне ПМСП",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Pc - Коэффициент по детям до 1 года на участке за квартал.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Ui2.1- количество баллов по подиндикатору – "Охват патронажным посещением новорожденных в первые 3 суток после выписки из организации родовспоможения" рассчитываемого как: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Ui2. 1 = PN /D * 100 %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PN - Число новорожденных, охваченных патронажным посещением в первые 3 суток после выписки из организации родовспоможения за квартал,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D - Число выписанных из стационара родильниц за квартал.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Результат: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90 % и более - 8 баллов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80–89 %–5 баллов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70–79 %–2 балл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Ниже 70 %–0 баллов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U2.2- количество баллов по подиндикатору – "Охват услугами пренатального скрининга первого триместра беременности", рассчитываемого как: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U2. 2 = Ps/P*100 %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Ps - Число женщин, прошедших пренатальный скрининг 1 триместра прошедших периодический пренатальный скрининг за квартал 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P - Число беременных женщин, подлежащих проведению пренатального скрининга первого триместра за квартал.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Результат: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90 % и более- 8 баллов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80–89 %–5 баллов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70–79 %–2 балла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Менее 70 %–0 баллов.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20-1. К значению индикатора младенческой смертности применяется поправочный коэффициент Pc в зависимости от количества детей в возрасте до 1 года на участке за отчетный квартал: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1,0 – на участке 35 и более детей до 1 года,</w:t>
      </w:r>
    </w:p>
    <w:bookmarkEnd w:id="32"/>
    <w:bookmarkStart w:name="z3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0,8 – на участке 25 – 34 детей до 1 года,</w:t>
      </w:r>
    </w:p>
    <w:bookmarkEnd w:id="33"/>
    <w:bookmarkStart w:name="z3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0,6 – на участке 10–24 детей до 1 года,</w:t>
      </w:r>
    </w:p>
    <w:bookmarkEnd w:id="34"/>
    <w:bookmarkStart w:name="z40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0,4 – на участке менее 9 детей до 1 года,</w:t>
      </w:r>
    </w:p>
    <w:bookmarkEnd w:id="35"/>
    <w:bookmarkStart w:name="z41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0 – на участке нет детей до 1 года.</w:t>
      </w:r>
    </w:p>
    <w:bookmarkEnd w:id="36"/>
    <w:bookmarkStart w:name="z42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Расчет индикатора охвата вторым этапом аудиологического скрининга проводится по следующей формуле:</w:t>
      </w:r>
    </w:p>
    <w:bookmarkEnd w:id="37"/>
    <w:bookmarkStart w:name="z43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Ti3= CM/N * 100 %</w:t>
      </w:r>
    </w:p>
    <w:bookmarkEnd w:id="38"/>
    <w:bookmarkStart w:name="z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CM - Число детей в возрасте 1 года, 2 лет, 3 лет и 6 лет, прошедших 2 этап аудиологического скрининга в ПМСП независимо от даты рождения, за квартал,</w:t>
      </w:r>
    </w:p>
    <w:bookmarkEnd w:id="39"/>
    <w:bookmarkStart w:name="z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N - Число детей в возрасте 1 года, 2 лет, 3 лет и 6 лет, прикрепленных на участке (с учетом выбывших в другие субъекты ПМСП), за исключением детей, находящихся на динамическом наблюдении по заболеваниям согласно таблице 3 Приложения 5 к настоящим Правилам, за квартал.</w:t>
      </w:r>
    </w:p>
    <w:bookmarkEnd w:id="40"/>
    <w:bookmarkStart w:name="z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Результат:</w:t>
      </w:r>
    </w:p>
    <w:bookmarkEnd w:id="41"/>
    <w:bookmarkStart w:name="z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20 % и более - 9 баллов</w:t>
      </w:r>
    </w:p>
    <w:bookmarkEnd w:id="42"/>
    <w:bookmarkStart w:name="z4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15-19 %–6 баллов</w:t>
      </w:r>
    </w:p>
    <w:bookmarkEnd w:id="43"/>
    <w:bookmarkStart w:name="z4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10-14 %–3 балла</w:t>
      </w:r>
    </w:p>
    <w:bookmarkEnd w:id="44"/>
    <w:bookmarkStart w:name="z5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Менее 10 %–0 баллов.";</w:t>
      </w:r>
    </w:p>
    <w:bookmarkEnd w:id="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Расчет суммы СК до уровня территориальных участков субъектов ПМСП осуществляется в автоматизированном режиме в цифровой системе "Дополнительный компонент к тарифу первичной медико-санитарной помощи" (далее – ДКПН) по форме согласно приложению 6 к настоящим Правилам ежеквартально до 10 числа месяца, следующего за отчетным, при этом за 4 квартал текущего года – в январе следующего года.";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"40. В случае, если сумма СК, предназначенная в отчетном периоде для стимулирования работников, оказывающих услуги в условиях территориального участка, распределена не в полном объеме, то остаток суммы СК в данном отчетном периоде направляется по решению комиссии на дополнительное стимулирование работников участков, где сумма индикаторов превышает средний балл по всем участкам субъекта здравоохранения на 10% и более при условии: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отсутствия нарушений по результатам государственного контроля в порядке, определенном Предпринимательским Кодексом, и по результатам внутренней экспертизы службой поддержки пациента и внутреннего контроля (аудита)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здравоохранения Республики Казахстан от 3 декабря 2020 года № ҚР ДСМ-230/2020 "Об утверждении правил организации и проведения внутренней и внешней экспертиз качества медицинских услуг (помощи)" (зарегистрирован в Реестре государственной регистрации нормативных правовых актов под № 21727);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отсутствия нарушений по результатам проведенной экспертизы по контролю качества медицинских услуг территориальными подразделениями Фонда.";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строки, порядковые номера 9, 10 и 11 изложить в следующей редакции: 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5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Случаи выполненных абортов в возрасте до 18 лет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Электронный регистр стационарных больных: статистическая карта выбывшего из стационара, утвержденная уполномоченным органом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под № 21579) (далее – приказ № 175).</w:t>
            </w:r>
          </w:p>
          <w:bookmarkEnd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Автоматизированная цифровая система – Поликлиника: медицинская карта амбулаторного пациента, утвержденная уполномоченным органом согласно приказу № 175.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Меньше 2.7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госпитализации больных из числа прикрепленного населения, госпитализированных с осложнениями сахарного диабета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ЭРСБ: статистическая карта выбывшего из стационара, утвержденная уполномоченным органом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 № 175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госпитализации больных из числа прикрепленного населения, госпитализированных с хронической верифицированной железодефицитной анемией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ЭРСБ: статистическая карта выбывшего из стационара, утвержденная уполномоченным органом согласно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приказу № 175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 </w:t>
      </w:r>
    </w:p>
    <w:bookmarkStart w:name="z63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обеспечить:</w:t>
      </w:r>
    </w:p>
    <w:bookmarkEnd w:id="54"/>
    <w:bookmarkStart w:name="z64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55"/>
    <w:bookmarkStart w:name="z65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здравоохранения Республики Казахстан после его официального опубликования;</w:t>
      </w:r>
    </w:p>
    <w:bookmarkEnd w:id="56"/>
    <w:bookmarkStart w:name="z66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предоставление в Юридический департамент Министерства здравоохранения Республики Казахстан сведений об исполнении мероприятий, предусмотренных подпунктами 1) и 2) настоящего пункта.</w:t>
      </w:r>
    </w:p>
    <w:bookmarkEnd w:id="57"/>
    <w:bookmarkStart w:name="z67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здравоохранения Республики Казахстан.</w:t>
      </w:r>
    </w:p>
    <w:bookmarkEnd w:id="58"/>
    <w:bookmarkStart w:name="z68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5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здравоохранения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Альназарова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здравоохранения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августа 2026 года № 91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поощрения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работников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здравоохранения, оказывающих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медицинские услуги в рамках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гарантированного объема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бесплатной медицинской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помощи и (или) в системе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обязательного социального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медицинского страхования</w:t>
            </w:r>
          </w:p>
        </w:tc>
      </w:tr>
    </w:tbl>
    <w:bookmarkStart w:name="z72" w:id="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Индикаторы результатов деятельности субъекта здравоохранения, оказывающего первичную медико-санитарную помощь в рамках гарантированного объема бесплатной медицинской помощи и (или) в системе обязательного социального медицинского страхования</w:t>
      </w:r>
    </w:p>
    <w:bookmarkEnd w:id="6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индикатора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индикатора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подиндикатора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подиндикатора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 вычисления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Плановое значение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Ожидаемый эффект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числитель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знаменатель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умножить на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Материнская смертность (при отсутствии МС, расчет производится по подиндикаторам)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случаев материнской смерти среди прикрепленного населения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Ранняя постановка на учет по беременности в сроке до 10 недель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женщин со сроком беременности до 10 недель 6 дней, взятых на учет по беременности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беременных женщин, взятых на учет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Удельный вес беременных женщин с впервые диагностированными экстрагенитальными заболеваниями во время беременности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беременных женщин с впервые диагностированными ЭГЗ во время беременности, взятых на учет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беременных женщин с ЭГЗ, взятых на учет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 более 20%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Снижение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женщин, взятых на учет по беременности, охваченных прегравидарной подготовкой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женщин, взятых на учет по беременности за квартал, охваченных ранее прегравидарной подготовкой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беременных женщин, взятых на учет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пролеченных случаев беременных и послеродовых женщин (до 42 дней после родов) в критическом состоянии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пролеченных беременных и послеродовых женщин (до 42 дней после родов) в критическом состоянии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Младенческая смертность, предотвратимая на уровне ПМСП (при отсутствии Мл, расчет производится по подиндикаторам)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детской смертности в возрасте до 1 года, предотвратимой на уровне ПМСП, подтвержденных экспертно, среди прикрепленного населения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патронажным посещением новорожденных в первые 3 суток после выписки из организации родовспоможения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новорожденных, охваченных патронажным посещением в первые 3 суток после выписки из организации родовспоможения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выписанных из стационара родильниц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услугами пренатального скрининга первого триместра беременности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беременных женщин, прошедших периодический пренатальный скрининг 1-го триместра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женщин, подлежащих периодическому пренатальному скринингу 1-го триместра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вторым этапом аудиологического скрининга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детей в возрасте 1 года, 2 лет, 3 лет и 6 лет, прошедших 2 этап аудиологического скрининга в ПМСП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детей в возрасте 1 года, 2 лет, 3 лет и 6 лет, прикрепленных на участке (с учетом выбывших в другие субъекты ПМСП), за исключением детей, находящихся на динамическом наблюдении,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Диагностированный туберкулез легочной локализации с бактериологическим подтверждением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впервые выявленных случаев туберкулеза легких среди прикрепленного населения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каждый случай 5 МРП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Впервые выявленные случаи злокачественного новообразования 0-1 стадий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впервые выявленных случаев с диагнозом злокачественного новообразования 0-1 стадий среди прикрепленного населения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 каждый случай 5 МРП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Наличие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госпитализации больных с осложнениями заболеваний сердечно-сосудистой системы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услугами пациентов с АГ: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определение липопротеидов низкой плотности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определение микроальбумина в разовой порции мочи для расчета САК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 с АГ, получивших 4 КД услуги за квартал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пациентов, состоявших на динамическом наблюдении с АГ за квартал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20%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определение креатинина в разовой порции мочи для расчета САК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определение креатинина в сыворотке крови для расчета СКФ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услугами пациентов с ИБС, ХСН: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эхокардиография;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 с ИБС и ХСН, получивших 1 КД услугу за квартал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пациентов, состоявших на динамическом наблюдении с ИБС и ХСН за квартал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10%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диагностика хронической сердечной недостаточности pro-BNP (натрийуретические пептиды) в сыворотке крови ИФА-методом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пациентов с АГ, охваченных АЛО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гипотензивные препараты (бета-блокаторами, ингибиторами АПФ)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 на динамическом наблюдении с диагнозами АГ, охваченных АЛО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пациентов, состоявших на динамическом наблюдении с АГ,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пациентов с ИБС, ХСН, охваченных АЛО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антикоагулянты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 на динамическом наблюдении с диагнозами ИБС, ХСН, охваченных АЛО за квартал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Число пациентов, состоявших на динамическом наблюдении с ИБС и ХСН за квартал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100%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70%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статин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мочегонные (торасемид и спиронолактон)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сердечные гликозиды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пациентов с впервые выявленным АГ, ИБС, ХСН на стационарном уровне динамическим наблюдением в течение 15 календарных дней после выписки из стационара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пациентов, взятых на динамическое наблюдение с АГ, ИБС, ХСН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пациентов, пролеченных в стационаре с впервые выявленным АГ, ИБС, ХСН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пролеченных в круглосуточных стационарах пациентов с осложнениями заболеваний сердечно-сосудистой системы, из числа состоящих на динамическом наблюдении с АГ, ИБС и ХСН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пролеченных в круглосуточных стационарах пациентов с осложнениями заболеваний сердечно-сосудистой системы, из числа состоящих на динамическом наблюдении с АГ, ИБС и ХСН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</w:t>
            </w:r>
          </w:p>
        </w:tc>
      </w:tr>
      <w:tr>
        <w:trPr>
          <w:trHeight w:val="30" w:hRule="atLeast"/>
        </w:trPr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госпитализации больных с осложнениями сахарного диабета II типа</w:t>
            </w:r>
          </w:p>
        </w:tc>
        <w:tc>
          <w:tcPr>
            <w:tcW w:w="1366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7.1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услугами пациентов с СД II типа: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 с СД II типа, получивших 4 КД услуги за квартал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пациентов, состоящих на динамическом наблюдении с СД II типа на участке на дату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20%</w:t>
            </w:r>
          </w:p>
        </w:tc>
        <w:tc>
          <w:tcPr>
            <w:tcW w:w="136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определение гликированного гемоглобина в крови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определение креатинина в разовой порции мочи для расчета САК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определение микроальбумина в разовой порции мочи для расчета САК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определение креатинина в сыворотке крови для расчета СКФ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7.2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пациентов с СД II типа услугой "офтальмоскопия"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 с СД II типа, получивших КД услугу офтальмоскопия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 с СД II типа (за исключением Е11.3 и Е11.7) на участке на дату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Доля пациентов с СД II типа, охваченных АЛО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 на динамическом наблюдении с диагнозом СД II типа, обеспеченных лекарственными средствами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пациентов, состоящих на динамическом наблюдении с СД II типа на участке на дату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 пациентов с впервые выявленным СД II типа на стационарном уровне динамическим наблюдением в течение 15 календарных дней после выписки из стационара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пациентов, взятых на динамическом наблюдении с диагнозом СД II типа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пациентов, пролеченных в стационаре с впервые выявленным СД II типа за квартал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 (%)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90%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Повышение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пролеченных в круглосуточных стационарах пациентов с осложнениями СД II типа, из числа состоящих на динамическом наблюдении с СД II типа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Число пролеченных в круглосуточных стационарах пациентов с осложнениями СД II типа, из числа состоящих на динамическом наблюдении с СД II типа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Отсутствие</w:t>
            </w:r>
          </w:p>
        </w:tc>
      </w:tr>
    </w:tbl>
    <w:p>
      <w:pPr>
        <w:spacing w:after="0"/>
        <w:ind w:left="0"/>
        <w:jc w:val="both"/>
      </w:pPr>
      <w:bookmarkStart w:name="z79" w:id="61"/>
      <w:r>
        <w:rPr>
          <w:rFonts w:ascii="Times New Roman"/>
          <w:b w:val="false"/>
          <w:i w:val="false"/>
          <w:color w:val="000000"/>
          <w:sz w:val="28"/>
        </w:rPr>
        <w:t>
      Используемые аббревиатуры: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 – артериальная гипертензия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АЛО – амбулаторное лекарственное обеспечение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МРП – месячный расчетный показатель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МС – материнская смертность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Ингибиторы АПФ – ингибиторы ангиотензинпревращающего фермента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ИБС – ишемическая болезнь сердца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КД – консультативно-диагностические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СД – сахарный диабет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ПМСП – первичная медико-санитарная помощь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МC – младенческая смертность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ХСН – хроническая сердечная недостаточность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ЭГЗ – экстрагенитальные заболевания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