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fa43d" w14:textId="c4fa4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индустрии и инфраструктурного развития Республики Казахстан от 2 августа 2019 года № 612 "Об утверждении Правил перевозок грузов железнодорожным транспортом"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транспорта Республики Казахстан от 10 августа 2026 года № 209. Зарегистрирован в Министерстве юстиции Республики Казахстан 11 августа 2026 года № 39559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от 2 августа 2019 года № 612 "Об утверждении Правил перевозок грузов железнодорожным транспортом" (зарегистрирован в Реестре государственной регистрации нормативных правовых актов за № 19188)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вносятся изменения на казахском языке, текст на русском языке не меняется;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34-33)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14 Закона Республики Казахстан "О железнодорожном транспорте" ПРИКАЗЫВАЮ:";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перевозок грузов железнодорожным транспортом, утвержденных указанным приказом: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перевозок грузов железнодорожным транспортом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железнодорожном транспорте" (далее – Закон) и определяют порядок перевозки грузов железнодорожным транспортом в Республике Казахстан.";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Грузоотправитель, грузополучатель для выполнения сопутствующих перевозке грузов работ, пользуются услугами ветвевладельца, перевозчика, экспедитора, владельца подвижного состава, оператора вагонов (контейнеров) и других лиц, на основании договора, при условии обеспечения безопасности движения, технических средств и подвижного состава.";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"40. Заявки по основному и дополнительным планам перевозок во внутриреспубликанском сообщении действуют до 5 числа месяца, следующего за отчетным (с заведением учетной карточкой выполнения плана перевозок формы ГУ-1).";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четвҰртую </w:t>
      </w:r>
      <w:r>
        <w:rPr>
          <w:rFonts w:ascii="Times New Roman"/>
          <w:b w:val="false"/>
          <w:i w:val="false"/>
          <w:color w:val="000000"/>
          <w:sz w:val="28"/>
        </w:rPr>
        <w:t>пункта 49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"Учетная карточка подписывается грузоотправителем и представителем перевозчика на станции по окончании календарных суток, по окончании месяца подписывается представителем перевозчика. При отказе грузоотправителя от подписания учетной карточки перевозчиком составляется акт общей формы.";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девятый </w:t>
      </w:r>
      <w:r>
        <w:rPr>
          <w:rFonts w:ascii="Times New Roman"/>
          <w:b w:val="false"/>
          <w:i w:val="false"/>
          <w:color w:val="000000"/>
          <w:sz w:val="28"/>
        </w:rPr>
        <w:t>пункта 50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"вагоны, контейнеры, поданные перевозчиком по согласованию с грузоотправителем без учета (исходя из технологического времени производства погрузочно-разгрузочных операций) возможности обеспечения грузоотправителем их погрузки до истечения отчетных суток, но погруженные грузоотправителем до окончания отчетных суток;";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пятым следующего содержания:</w:t>
      </w:r>
    </w:p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"Выполнение заявки по плану в последний день месяца определяется по состоянию на 00.00 часов. При этом вагоны, погруженные до 20.00 часов, учитываются на общих основаниях. На вагоны, принятые к перевозке после 20.01 часов по плану ГУ-12 текущего месяца, оформляется дополнительный бланк учетной карточки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с записью в заголовке: "Погрузка с 20.00 до 00.00 часов". Выполнение плана определяется путем суммирования сведений по двум учетным карточкам.";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 54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"54. Размер общего невыполнения заявки по плану перевозок грузов, запланированных в тоннах и вагонах, допущенного по вине перевозчика либо грузоотправителя, определяется путем деления количества не погруженных тонн на величину статистической нагрузки. Величина статической нагрузки исчисляется путем деления количества тонн, указанных в графе 3, на количество вагонов, контейнеров, указанных в графе 2.";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104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"104. О выдаче груза без участия перевозчика представитель перевозчика на станции, по требованию грузополучателя в графе "Отметки о выдаче груза" накладной делает отметку следующего содержания:";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параграфа 2 главы 7 изложить в следующей редакции:</w:t>
      </w:r>
    </w:p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2. Заполнение накладной на станции отправления";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174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"174. Представитель перевозчика на станции отправления после проверки предъявленной грузоотправителем оформленной накладной переносит содержащиеся в ней сведения и отметки в дорожную ведомость, корешок дорожной ведомости и квитанцию о приеме груза.";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181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"181. В графе "Платежи взысканы на станции назначения" - указывается номер квитанции разных сборов или номер платежной карты. Взимание платежей перевозчиком с грузополучателя на станции назначения удостоверяется подписью представителя перевозчика с указанием должности, фамилии и инициалов, а на оборотной стороне накладной и дорожной ведомости проставляется календарный штемпель перевозчика на станции о времени оформления выдачи груза.";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202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203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"202. При наличии у грузоотправителя доступа к САС грузоотправитель заполняет данные в электронном досье перевозки в порядке, установленном в </w:t>
      </w:r>
      <w:r>
        <w:rPr>
          <w:rFonts w:ascii="Times New Roman"/>
          <w:b w:val="false"/>
          <w:i w:val="false"/>
          <w:color w:val="000000"/>
          <w:sz w:val="28"/>
        </w:rPr>
        <w:t>параграфе 1</w:t>
      </w:r>
      <w:r>
        <w:rPr>
          <w:rFonts w:ascii="Times New Roman"/>
          <w:b w:val="false"/>
          <w:i w:val="false"/>
          <w:color w:val="000000"/>
          <w:sz w:val="28"/>
        </w:rPr>
        <w:t xml:space="preserve"> "Заполнение накладной грузоотправителем" настоящей Главы. Представитель перевозчика на станции отправления заполняет электронное досье перевозки в порядке, установленном в </w:t>
      </w:r>
      <w:r>
        <w:rPr>
          <w:rFonts w:ascii="Times New Roman"/>
          <w:b w:val="false"/>
          <w:i w:val="false"/>
          <w:color w:val="000000"/>
          <w:sz w:val="28"/>
        </w:rPr>
        <w:t>параграфе 2</w:t>
      </w:r>
      <w:r>
        <w:rPr>
          <w:rFonts w:ascii="Times New Roman"/>
          <w:b w:val="false"/>
          <w:i w:val="false"/>
          <w:color w:val="000000"/>
          <w:sz w:val="28"/>
        </w:rPr>
        <w:t xml:space="preserve"> "Заполнение накладной на станции отправления" настоящей Главы. Порядок электронного обмена данными определяется технологиями функционирования автоматизированной информационной системы перевозчика и информационного взаимодействия между грузоотправителем (грузополучателем) и перевозчиком.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203. При раскредитовании документов, оформленных с использованием электронного досье перевозки, представитель перевозчика на станции назначения вносит в электронное досье перевозки сведения в порядке, установленном в </w:t>
      </w:r>
      <w:r>
        <w:rPr>
          <w:rFonts w:ascii="Times New Roman"/>
          <w:b w:val="false"/>
          <w:i w:val="false"/>
          <w:color w:val="000000"/>
          <w:sz w:val="28"/>
        </w:rPr>
        <w:t>параграфе 4</w:t>
      </w:r>
      <w:r>
        <w:rPr>
          <w:rFonts w:ascii="Times New Roman"/>
          <w:b w:val="false"/>
          <w:i w:val="false"/>
          <w:color w:val="000000"/>
          <w:sz w:val="28"/>
        </w:rPr>
        <w:t xml:space="preserve"> "Заполнение накладной на станции назначения" и </w:t>
      </w:r>
      <w:r>
        <w:rPr>
          <w:rFonts w:ascii="Times New Roman"/>
          <w:b w:val="false"/>
          <w:i w:val="false"/>
          <w:color w:val="000000"/>
          <w:sz w:val="28"/>
        </w:rPr>
        <w:t>параграфе 5</w:t>
      </w:r>
      <w:r>
        <w:rPr>
          <w:rFonts w:ascii="Times New Roman"/>
          <w:b w:val="false"/>
          <w:i w:val="false"/>
          <w:color w:val="000000"/>
          <w:sz w:val="28"/>
        </w:rPr>
        <w:t xml:space="preserve"> "Заполнение дорожной ведомости на станции назначения" настоящей Главы.";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пятый </w:t>
      </w:r>
      <w:r>
        <w:rPr>
          <w:rFonts w:ascii="Times New Roman"/>
          <w:b w:val="false"/>
          <w:i w:val="false"/>
          <w:color w:val="000000"/>
          <w:sz w:val="28"/>
        </w:rPr>
        <w:t>пункта 215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"Сведения о запорно-пломбировочных устройствах по каждому вагону группы указываются грузоотправителем в прикладываемом к накладной дополнительном листе. Дополнительный лист заполняется и подписывается грузоотправителем в трех экземплярах. В накладной под наименованием груза грузоотправителем делается отметка "Сведения о запорно-пломбировочных устройствах смотри в дополнительном листе". Накладная и три экземпляра дополнительного листа предъявляются грузоотправителем представителю перевозчика на станции отправления. Станцией во все экземпляры дополнительного листа вносится номер накладной. Первый и второй экземпляры дополнительного листа прикладываются станцией отправления соответственно к накладной и к корешку дорожной ведомости, а третий экземпляр вместе с квитанцией о приеме груза возвращается грузоотправителю.";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"219. Представитель перевозчика на станции назначения при выдаче груза, прибывшего маршрутной или групповой отправкой, при наличии в накладной отметки (отметок) об отцепке вагона (группы вагонов) в пути следования на основании приложенного к перевозочным документам акта (актов) общей формы ГУ-23 составляет коммерческий акт с указанием номеров не прибывших вагонов. В графе накладной "Отметки перевозчика" делается запись: "Отправка прибыл (а) в составе __ вагонов. На не прибывшие ___ вагонов № ________ составлен коммерческий акт № _______". Прибывший на станцию назначения по досылочной дорожной ведомости груз выдается в соответствии с настоящими Правилами грузополучателю после предъявления выданного ему экземпляра коммерческого акта и накладной на отправку. Представитель перевозчика на станции назначения во всех экземплярах коммерческого акта в разделе "Ж" и в накладной на отправку в графе "Отметки перевозчика" делает отметку о прибытии груза по досылочной дорожной ведомости с указанием номера досылочной дорожной ведомости, номера вагона, станции, оформившей досылку, даты оформления досылки и даты выдачи груза грузополучателю. По прибытии последнего вагона, указанного в коммерческом акте как не прибывшего, коммерческий акт грузополучателем возвращается станции назначения для хранения. Выдача груза, прибывшего по досылочной дорожной ведомости ранее прибытия основной отправки, производится под роспись грузополучателя в досылочной дорожной ведомости. По прибытии основной отправки в этом случае коммерческий акт не составляется.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Провозная плата по досылочной дорожной ведомости не взимается.";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"222. При выдаче груза, прибывшего маршрутной или групповой отправками, представитель перевозчика на станции назначения производит окончательный расчет, связанный с перевозкой груза, по накладной (электронной накладной) за количество вагонов, указанных в накладной. Оформление выдачи груза, прибывшего по маршрутной (групповой) отправке с использованием электронного досье перевозки, производится в соответствии с настоящими Правилами.";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"322. Разрешение на переадресовку груза направляется в письменном виде перевозчику для осуществления такой переадресовки.</w:t>
      </w:r>
    </w:p>
    <w:bookmarkEnd w:id="29"/>
    <w:bookmarkStart w:name="z4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переадресовке в пути следования разрешение на переадресовку груза адресуется представителю перевозчика на станции, на которой должна состоятся переадресовка, а копия - представителю перевозчика на станции первоначального назначения. О произведенной переадресовке осуществившая ее станция сообщает по телеграфу станции первоначального назначения.";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338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"338. Грузы, требующие защиты от атмосферных осадков и распыления, перевозятся насыпью и навалом в специализированных крытых вагонах (например, в вагонах-муковозах, зерновозах, цементовозах, минераловозах), специализированных контейнерах. Для перевозки грузов навалом в упакованном виде могут использоваться крытые вагоны, контейнеры. Перед погрузкой грузов, подлежащих к перевозке насыпью или навалом, грузоотправитель принимает меры по заделке конструктивных зазоров вагонов, контейнеров. Заделка зазоров вагонов необходима для исключения просыпания в пути следования грузов на железнодорожные пути и загрязнения окружающей среды. Перевозка грузов навалом и насыпью в крытых вагонах, контейнерах допускается только с установленными грузоотправителем дверными заграждениями.</w:t>
      </w:r>
    </w:p>
    <w:bookmarkEnd w:id="31"/>
    <w:bookmarkStart w:name="z4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заграждения дверных проемов вагонов, контейнеров применяются щиты, доски, горбыли, заграждения из других плотных материалов. Обеспечение дверными заграждений в вагоне производится силами и средствами грузоотправителя. Грузоотправитель перед погрузкой убеждается в том, что вагоны, контейнеры исправны в коммерческом отношении, очищены, не заражены вредителями, не имеют отверстий и щелей, через которые может произойти утечка груза. При выгрузке груза грузополучатель снимает дверные заграждения, не повреждая вагон, контейнер.</w:t>
      </w:r>
    </w:p>
    <w:bookmarkEnd w:id="32"/>
    <w:bookmarkStart w:name="z4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Хлебные грузы, семена масличных и бобовых культур предъявляются к перевозке грузоотправителем внутри Республики Казахстан при наличии карантинного сертификата, на экспорт при наличии фитосанитарного сертификата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карантине растений".</w:t>
      </w:r>
    </w:p>
    <w:bookmarkEnd w:id="33"/>
    <w:bookmarkStart w:name="z4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оформлении перевозочных документов на перевозку грузов насыпью или навалом в накладной в графе "Количество мест" грузоотправителем указывается соответственно "насыпью" или "навалом".".</w:t>
      </w:r>
    </w:p>
    <w:bookmarkEnd w:id="34"/>
    <w:bookmarkStart w:name="z5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железнодорожного и водного транспорта Министерства транспорта Республики Казахстан в установленном законодательством порядке обеспечить:</w:t>
      </w:r>
    </w:p>
    <w:bookmarkEnd w:id="35"/>
    <w:bookmarkStart w:name="z5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6"/>
    <w:bookmarkStart w:name="z5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транспорта Республики Казахстан после его официального опубликования.</w:t>
      </w:r>
    </w:p>
    <w:bookmarkEnd w:id="37"/>
    <w:bookmarkStart w:name="z5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транспорта Республики Казахстан.</w:t>
      </w:r>
    </w:p>
    <w:bookmarkEnd w:id="38"/>
    <w:bookmarkStart w:name="z5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транспорта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Сауранбаев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57" w:id="40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      национальной       экономики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