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0e4e" w14:textId="fe70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формированию показателей статистики туризма на основе данных мобильного позиционирования</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31 июля 2026 года № 20. Зарегистрирован в Министерстве юстиции Республики Казахстан 31 июля 2026 года № 39470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w:t>
      </w:r>
      <w:r>
        <w:rPr>
          <w:rFonts w:ascii="Times New Roman"/>
          <w:b w:val="false"/>
          <w:i w:val="false"/>
          <w:color w:val="000000"/>
          <w:sz w:val="28"/>
        </w:rPr>
        <w:t>подпунктом 24)</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ПРИКАЗЫВАЮ:</w:t>
      </w:r>
    </w:p>
    <w:bookmarkEnd w:id="0"/>
    <w:bookmarkStart w:name="z5" w:id="1"/>
    <w:p>
      <w:pPr>
        <w:spacing w:after="0"/>
        <w:ind w:left="0"/>
        <w:jc w:val="both"/>
      </w:pPr>
      <w:r>
        <w:rPr>
          <w:rFonts w:ascii="Times New Roman"/>
          <w:b w:val="false"/>
          <w:i w:val="false"/>
          <w:color w:val="000000"/>
          <w:sz w:val="28"/>
        </w:rPr>
        <w:t xml:space="preserve">
      1. Утвердить Методику по формированию показателей статистики туризма на основе данных мобильного позиционирования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1"/>
    <w:bookmarkStart w:name="z6" w:id="2"/>
    <w:p>
      <w:pPr>
        <w:spacing w:after="0"/>
        <w:ind w:left="0"/>
        <w:jc w:val="both"/>
      </w:pPr>
      <w:r>
        <w:rPr>
          <w:rFonts w:ascii="Times New Roman"/>
          <w:b w:val="false"/>
          <w:i w:val="false"/>
          <w:color w:val="000000"/>
          <w:sz w:val="28"/>
        </w:rPr>
        <w:t>
      2. Департаменту статистики услуг и энергетики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Департаменту статистики услуг и энергетики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 национальной статистики</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w:t>
            </w:r>
          </w:p>
          <w:p>
            <w:pPr>
              <w:spacing w:after="0"/>
              <w:ind w:left="0"/>
              <w:jc w:val="left"/>
            </w:pPr>
          </w:p>
          <w:p>
            <w:pPr>
              <w:spacing w:after="20"/>
              <w:ind w:left="20"/>
              <w:jc w:val="both"/>
            </w:pPr>
            <w:r>
              <w:rPr>
                <w:rFonts w:ascii="Times New Roman"/>
                <w:b w:val="false"/>
                <w:i/>
                <w:color w:val="000000"/>
                <w:sz w:val="20"/>
              </w:rPr>
              <w:t xml:space="preserve">и 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туризма и 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20</w:t>
            </w:r>
          </w:p>
        </w:tc>
      </w:tr>
    </w:tbl>
    <w:bookmarkStart w:name="z16" w:id="10"/>
    <w:p>
      <w:pPr>
        <w:spacing w:after="0"/>
        <w:ind w:left="0"/>
        <w:jc w:val="left"/>
      </w:pPr>
      <w:r>
        <w:rPr>
          <w:rFonts w:ascii="Times New Roman"/>
          <w:b/>
          <w:i w:val="false"/>
          <w:color w:val="000000"/>
        </w:rPr>
        <w:t xml:space="preserve"> Методика формирования показателей статистики туризма на основе данных мобильного позиционирования</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Методика формирования показателей статистики туризма на основе данных мобильного позиционирования (далее – Методика) разработана в соответствии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с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w:t>
      </w:r>
      <w:r>
        <w:rPr>
          <w:rFonts w:ascii="Times New Roman"/>
          <w:b w:val="false"/>
          <w:i w:val="false"/>
          <w:color w:val="000000"/>
          <w:sz w:val="28"/>
        </w:rPr>
        <w:t>подпунктом 24)</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и относится к статистической методологии, формируемой в соответствии с международными стандартами.</w:t>
      </w:r>
    </w:p>
    <w:bookmarkEnd w:id="12"/>
    <w:bookmarkStart w:name="z19" w:id="13"/>
    <w:p>
      <w:pPr>
        <w:spacing w:after="0"/>
        <w:ind w:left="0"/>
        <w:jc w:val="both"/>
      </w:pPr>
      <w:r>
        <w:rPr>
          <w:rFonts w:ascii="Times New Roman"/>
          <w:b w:val="false"/>
          <w:i w:val="false"/>
          <w:color w:val="000000"/>
          <w:sz w:val="28"/>
        </w:rPr>
        <w:t>
      2. Настоящая Методика применяется Бюро национальной статистики Агентства по стратегическому планированию и реформам Республики Казахстан (далее - Бюро) для определения порядка формирования статистических показателей внутреннего и въездного туризма на основе данных мобильного позиционирования при производстве официальной статистической информации в области статистики туризма.</w:t>
      </w:r>
    </w:p>
    <w:bookmarkEnd w:id="13"/>
    <w:bookmarkStart w:name="z20" w:id="14"/>
    <w:p>
      <w:pPr>
        <w:spacing w:after="0"/>
        <w:ind w:left="0"/>
        <w:jc w:val="both"/>
      </w:pPr>
      <w:r>
        <w:rPr>
          <w:rFonts w:ascii="Times New Roman"/>
          <w:b w:val="false"/>
          <w:i w:val="false"/>
          <w:color w:val="000000"/>
          <w:sz w:val="28"/>
        </w:rPr>
        <w:t>
      3. Методика разработана Бюро в соответствии с положениями Международных рекомендаций по статистике туризма Всемирной туристской организации и учитывает особенности применения больших данных в официальной статистике. Отдельные концепции международной статистики туризма адаптированы к возможностям и ограничениям данных мобильного позиционирования.</w:t>
      </w:r>
    </w:p>
    <w:bookmarkEnd w:id="14"/>
    <w:bookmarkStart w:name="z21" w:id="15"/>
    <w:p>
      <w:pPr>
        <w:spacing w:after="0"/>
        <w:ind w:left="0"/>
        <w:jc w:val="both"/>
      </w:pPr>
      <w:r>
        <w:rPr>
          <w:rFonts w:ascii="Times New Roman"/>
          <w:b w:val="false"/>
          <w:i w:val="false"/>
          <w:color w:val="000000"/>
          <w:sz w:val="28"/>
        </w:rPr>
        <w:t>
      4. В настоящей Методике используются следующие понятия:</w:t>
      </w:r>
    </w:p>
    <w:bookmarkEnd w:id="15"/>
    <w:bookmarkStart w:name="z22" w:id="16"/>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w:t>
      </w:r>
    </w:p>
    <w:bookmarkEnd w:id="16"/>
    <w:bookmarkStart w:name="z23" w:id="17"/>
    <w:p>
      <w:pPr>
        <w:spacing w:after="0"/>
        <w:ind w:left="0"/>
        <w:jc w:val="both"/>
      </w:pPr>
      <w:r>
        <w:rPr>
          <w:rFonts w:ascii="Times New Roman"/>
          <w:b w:val="false"/>
          <w:i w:val="false"/>
          <w:color w:val="000000"/>
          <w:sz w:val="28"/>
        </w:rPr>
        <w:t>
      2) якорная точка – географическая локация, регулярно и устойчиво посещаемая абонентом в течение определенного периода времени;</w:t>
      </w:r>
    </w:p>
    <w:bookmarkEnd w:id="17"/>
    <w:bookmarkStart w:name="z24" w:id="18"/>
    <w:p>
      <w:pPr>
        <w:spacing w:after="0"/>
        <w:ind w:left="0"/>
        <w:jc w:val="both"/>
      </w:pPr>
      <w:r>
        <w:rPr>
          <w:rFonts w:ascii="Times New Roman"/>
          <w:b w:val="false"/>
          <w:i w:val="false"/>
          <w:color w:val="000000"/>
          <w:sz w:val="28"/>
        </w:rPr>
        <w:t>
      3) въездной туризм – путешествия в пределах Республики Казахстан лиц, не проживающих постоянно на ее территории;</w:t>
      </w:r>
    </w:p>
    <w:bookmarkEnd w:id="18"/>
    <w:bookmarkStart w:name="z25" w:id="19"/>
    <w:p>
      <w:pPr>
        <w:spacing w:after="0"/>
        <w:ind w:left="0"/>
        <w:jc w:val="both"/>
      </w:pPr>
      <w:r>
        <w:rPr>
          <w:rFonts w:ascii="Times New Roman"/>
          <w:b w:val="false"/>
          <w:i w:val="false"/>
          <w:color w:val="000000"/>
          <w:sz w:val="28"/>
        </w:rPr>
        <w:t>
      4) данные мобильного позиционирования (MPD) – обезличенные данные, формируемые операторами сотовой связи в процессе функционирования телекоммуникационной сети и содержащие информацию о сигнальных данных активности абонентов с указанием времени и географической привязки;</w:t>
      </w:r>
    </w:p>
    <w:bookmarkEnd w:id="19"/>
    <w:bookmarkStart w:name="z26" w:id="20"/>
    <w:p>
      <w:pPr>
        <w:spacing w:after="0"/>
        <w:ind w:left="0"/>
        <w:jc w:val="both"/>
      </w:pPr>
      <w:r>
        <w:rPr>
          <w:rFonts w:ascii="Times New Roman"/>
          <w:b w:val="false"/>
          <w:i w:val="false"/>
          <w:color w:val="000000"/>
          <w:sz w:val="28"/>
        </w:rPr>
        <w:t>
      5) роуминг – предоставление услуг сотовой связи абоненту оператора сотовой связи в сети оператора сотовой связи в другой стране, на основании роумингового соглашения между операторами сотовой связи;</w:t>
      </w:r>
    </w:p>
    <w:bookmarkEnd w:id="20"/>
    <w:bookmarkStart w:name="z27" w:id="21"/>
    <w:p>
      <w:pPr>
        <w:spacing w:after="0"/>
        <w:ind w:left="0"/>
        <w:jc w:val="both"/>
      </w:pPr>
      <w:r>
        <w:rPr>
          <w:rFonts w:ascii="Times New Roman"/>
          <w:b w:val="false"/>
          <w:i w:val="false"/>
          <w:color w:val="000000"/>
          <w:sz w:val="28"/>
        </w:rPr>
        <w:t>
      6) оператор сотовой связи – оператор связи, предоставляющий услуги сотовой связи в соответствии с законодательством Республики Казахстан;</w:t>
      </w:r>
    </w:p>
    <w:bookmarkEnd w:id="21"/>
    <w:bookmarkStart w:name="z28" w:id="22"/>
    <w:p>
      <w:pPr>
        <w:spacing w:after="0"/>
        <w:ind w:left="0"/>
        <w:jc w:val="both"/>
      </w:pPr>
      <w:r>
        <w:rPr>
          <w:rFonts w:ascii="Times New Roman"/>
          <w:b w:val="false"/>
          <w:i w:val="false"/>
          <w:color w:val="000000"/>
          <w:sz w:val="28"/>
        </w:rPr>
        <w:t>
      7) место постоянного проживания – основная якорная точка абонента, определяемая на длительном временном интервале и используемая для идентификации его обычной среды;</w:t>
      </w:r>
    </w:p>
    <w:bookmarkEnd w:id="22"/>
    <w:bookmarkStart w:name="z29" w:id="23"/>
    <w:p>
      <w:pPr>
        <w:spacing w:after="0"/>
        <w:ind w:left="0"/>
        <w:jc w:val="both"/>
      </w:pPr>
      <w:r>
        <w:rPr>
          <w:rFonts w:ascii="Times New Roman"/>
          <w:b w:val="false"/>
          <w:i w:val="false"/>
          <w:color w:val="000000"/>
          <w:sz w:val="28"/>
        </w:rPr>
        <w:t>
      8) туризм – временное пребывание туриста в путешествии, не связанное со сменой постоянного места жительства;</w:t>
      </w:r>
    </w:p>
    <w:bookmarkEnd w:id="23"/>
    <w:bookmarkStart w:name="z30" w:id="24"/>
    <w:p>
      <w:pPr>
        <w:spacing w:after="0"/>
        <w:ind w:left="0"/>
        <w:jc w:val="both"/>
      </w:pPr>
      <w:r>
        <w:rPr>
          <w:rFonts w:ascii="Times New Roman"/>
          <w:b w:val="false"/>
          <w:i w:val="false"/>
          <w:color w:val="000000"/>
          <w:sz w:val="28"/>
        </w:rPr>
        <w:t>
      9) внутренний туризм – путешествия в пределах Республики Казахстан граждан Республики Казахстан и лиц, постоянно проживающих на ее территории.</w:t>
      </w:r>
    </w:p>
    <w:bookmarkEnd w:id="24"/>
    <w:bookmarkStart w:name="z31" w:id="25"/>
    <w:p>
      <w:pPr>
        <w:spacing w:after="0"/>
        <w:ind w:left="0"/>
        <w:jc w:val="left"/>
      </w:pPr>
      <w:r>
        <w:rPr>
          <w:rFonts w:ascii="Times New Roman"/>
          <w:b/>
          <w:i w:val="false"/>
          <w:color w:val="000000"/>
        </w:rPr>
        <w:t xml:space="preserve"> Глава 2. Источники данных мобильного позиционирования</w:t>
      </w:r>
    </w:p>
    <w:bookmarkEnd w:id="25"/>
    <w:bookmarkStart w:name="z32" w:id="26"/>
    <w:p>
      <w:pPr>
        <w:spacing w:after="0"/>
        <w:ind w:left="0"/>
        <w:jc w:val="both"/>
      </w:pPr>
      <w:r>
        <w:rPr>
          <w:rFonts w:ascii="Times New Roman"/>
          <w:b w:val="false"/>
          <w:i w:val="false"/>
          <w:color w:val="000000"/>
          <w:sz w:val="28"/>
        </w:rPr>
        <w:t>
      5. Источником данных мобильного позиционирования для формирования показателей статистики внутреннего и въездного туризма являются обезличенные данные мобильного позиционирования, формируемые в процессе функционирования телекоммуникационной сети.</w:t>
      </w:r>
    </w:p>
    <w:bookmarkEnd w:id="26"/>
    <w:bookmarkStart w:name="z33" w:id="27"/>
    <w:p>
      <w:pPr>
        <w:spacing w:after="0"/>
        <w:ind w:left="0"/>
        <w:jc w:val="both"/>
      </w:pPr>
      <w:r>
        <w:rPr>
          <w:rFonts w:ascii="Times New Roman"/>
          <w:b w:val="false"/>
          <w:i w:val="false"/>
          <w:color w:val="000000"/>
          <w:sz w:val="28"/>
        </w:rPr>
        <w:t>
      6. Использование данных мобильного позиционирования позволяет Бюро получать информацию о пространственно-временном присутствии абонентов, анализировать направления, продолжительность пребывания и интенсивность их перемещений.</w:t>
      </w:r>
    </w:p>
    <w:bookmarkEnd w:id="27"/>
    <w:bookmarkStart w:name="z34" w:id="28"/>
    <w:p>
      <w:pPr>
        <w:spacing w:after="0"/>
        <w:ind w:left="0"/>
        <w:jc w:val="both"/>
      </w:pPr>
      <w:r>
        <w:rPr>
          <w:rFonts w:ascii="Times New Roman"/>
          <w:b w:val="false"/>
          <w:i w:val="false"/>
          <w:color w:val="000000"/>
          <w:sz w:val="28"/>
        </w:rPr>
        <w:t>
      7. Для формирования показателей статистики туризма применяются обезличенный идентификатор абонента, временное значение сигнальных данных, идентификатор обслуживающей базовой станции, географические координаты базовой станции либо сведения, позволяющие определить ее местоположение посредством справочников телекоммуникационной инфраструктуры, код страны регистрации SIM-карты (MCC) и код мобильной сети (MNC).</w:t>
      </w:r>
    </w:p>
    <w:bookmarkEnd w:id="28"/>
    <w:bookmarkStart w:name="z35" w:id="29"/>
    <w:p>
      <w:pPr>
        <w:spacing w:after="0"/>
        <w:ind w:left="0"/>
        <w:jc w:val="both"/>
      </w:pPr>
      <w:r>
        <w:rPr>
          <w:rFonts w:ascii="Times New Roman"/>
          <w:b w:val="false"/>
          <w:i w:val="false"/>
          <w:color w:val="000000"/>
          <w:sz w:val="28"/>
        </w:rPr>
        <w:t>
      8. Обезличенный идентификатор абонента представляет собой уникальный внутренний идентификатор, используемый исключительно для статистической обработки данных мобильного позиционирования и не содержит сведений, позволяющих установить личность владельца устройства.</w:t>
      </w:r>
    </w:p>
    <w:bookmarkEnd w:id="29"/>
    <w:bookmarkStart w:name="z36" w:id="30"/>
    <w:p>
      <w:pPr>
        <w:spacing w:after="0"/>
        <w:ind w:left="0"/>
        <w:jc w:val="both"/>
      </w:pPr>
      <w:r>
        <w:rPr>
          <w:rFonts w:ascii="Times New Roman"/>
          <w:b w:val="false"/>
          <w:i w:val="false"/>
          <w:color w:val="000000"/>
          <w:sz w:val="28"/>
        </w:rPr>
        <w:t>
      9. Для формирования показателей въездного туризма используются сведения о стране регистрации SIM-карты, определяемые на основе мобильного кода страны (MCC) и кода мобильной сети (MNC), содержащихся в международном идентификаторе мобильного абонента.</w:t>
      </w:r>
    </w:p>
    <w:bookmarkEnd w:id="30"/>
    <w:bookmarkStart w:name="z37" w:id="31"/>
    <w:p>
      <w:pPr>
        <w:spacing w:after="0"/>
        <w:ind w:left="0"/>
        <w:jc w:val="both"/>
      </w:pPr>
      <w:r>
        <w:rPr>
          <w:rFonts w:ascii="Times New Roman"/>
          <w:b w:val="false"/>
          <w:i w:val="false"/>
          <w:color w:val="000000"/>
          <w:sz w:val="28"/>
        </w:rPr>
        <w:t>
      10. Для пространственной обработки данных мобильного позиционирования Бюро используются справочники базовых станций операторов сотовой связи, содержащие сведения об их местоположении, а также классификатор административно-территориальных объектов Республики Казахстан.</w:t>
      </w:r>
    </w:p>
    <w:bookmarkEnd w:id="31"/>
    <w:bookmarkStart w:name="z38" w:id="32"/>
    <w:p>
      <w:pPr>
        <w:spacing w:after="0"/>
        <w:ind w:left="0"/>
        <w:jc w:val="both"/>
      </w:pPr>
      <w:r>
        <w:rPr>
          <w:rFonts w:ascii="Times New Roman"/>
          <w:b w:val="false"/>
          <w:i w:val="false"/>
          <w:color w:val="000000"/>
          <w:sz w:val="28"/>
        </w:rPr>
        <w:t>
      11. Бюро при формировании статистических показателей используются данные мобильного позиционирования, справочники кодов операторов сотовой связи и иные информационные ресурсы, необходимые для оценки полноты охвата и контроля качества данных.</w:t>
      </w:r>
    </w:p>
    <w:bookmarkEnd w:id="32"/>
    <w:bookmarkStart w:name="z39" w:id="33"/>
    <w:p>
      <w:pPr>
        <w:spacing w:after="0"/>
        <w:ind w:left="0"/>
        <w:jc w:val="both"/>
      </w:pPr>
      <w:r>
        <w:rPr>
          <w:rFonts w:ascii="Times New Roman"/>
          <w:b w:val="false"/>
          <w:i w:val="false"/>
          <w:color w:val="000000"/>
          <w:sz w:val="28"/>
        </w:rPr>
        <w:t>
      12. Обработка данных мобильного позиционирования осуществляется Бюро исключительно в статистических целях с соблюдением требований законодательства Республики Казахстан в области государственной статистики, защиты персональных данных и обеспечения конфиденциальности информации.</w:t>
      </w:r>
    </w:p>
    <w:bookmarkEnd w:id="33"/>
    <w:bookmarkStart w:name="z40" w:id="34"/>
    <w:p>
      <w:pPr>
        <w:spacing w:after="0"/>
        <w:ind w:left="0"/>
        <w:jc w:val="left"/>
      </w:pPr>
      <w:r>
        <w:rPr>
          <w:rFonts w:ascii="Times New Roman"/>
          <w:b/>
          <w:i w:val="false"/>
          <w:color w:val="000000"/>
        </w:rPr>
        <w:t xml:space="preserve"> Глава 3. Подготовка данных мобильного позиционирования</w:t>
      </w:r>
    </w:p>
    <w:bookmarkEnd w:id="34"/>
    <w:bookmarkStart w:name="z41" w:id="35"/>
    <w:p>
      <w:pPr>
        <w:spacing w:after="0"/>
        <w:ind w:left="0"/>
        <w:jc w:val="left"/>
      </w:pPr>
      <w:r>
        <w:rPr>
          <w:rFonts w:ascii="Times New Roman"/>
          <w:b/>
          <w:i w:val="false"/>
          <w:color w:val="000000"/>
        </w:rPr>
        <w:t xml:space="preserve"> Параграф 1. Оценка качества данных мобильного позиционирования</w:t>
      </w:r>
    </w:p>
    <w:bookmarkEnd w:id="35"/>
    <w:bookmarkStart w:name="z42" w:id="36"/>
    <w:p>
      <w:pPr>
        <w:spacing w:after="0"/>
        <w:ind w:left="0"/>
        <w:jc w:val="both"/>
      </w:pPr>
      <w:r>
        <w:rPr>
          <w:rFonts w:ascii="Times New Roman"/>
          <w:b w:val="false"/>
          <w:i w:val="false"/>
          <w:color w:val="000000"/>
          <w:sz w:val="28"/>
        </w:rPr>
        <w:t>
      13. Оценка качества данных мобильного позиционирования является обязательным этапом при формировании статистических показателей на основе данных мобильного позиционирования и осуществляется Бюро в целях подтверждения пригодности исходных данных для последующей обработки, анализа и расчета показателей статистики туризма.</w:t>
      </w:r>
    </w:p>
    <w:bookmarkEnd w:id="36"/>
    <w:bookmarkStart w:name="z43" w:id="37"/>
    <w:p>
      <w:pPr>
        <w:spacing w:after="0"/>
        <w:ind w:left="0"/>
        <w:jc w:val="both"/>
      </w:pPr>
      <w:r>
        <w:rPr>
          <w:rFonts w:ascii="Times New Roman"/>
          <w:b w:val="false"/>
          <w:i w:val="false"/>
          <w:color w:val="000000"/>
          <w:sz w:val="28"/>
        </w:rPr>
        <w:t>
      14. Проверка качества данных мобильного позиционирования осуществляется Бюро по временным, пространственным и структурным характеристикам.</w:t>
      </w:r>
    </w:p>
    <w:bookmarkEnd w:id="37"/>
    <w:bookmarkStart w:name="z44" w:id="38"/>
    <w:p>
      <w:pPr>
        <w:spacing w:after="0"/>
        <w:ind w:left="0"/>
        <w:jc w:val="both"/>
      </w:pPr>
      <w:r>
        <w:rPr>
          <w:rFonts w:ascii="Times New Roman"/>
          <w:b w:val="false"/>
          <w:i w:val="false"/>
          <w:color w:val="000000"/>
          <w:sz w:val="28"/>
        </w:rPr>
        <w:t>
      15. В рамках анализа временной согласованности данных мобильного позиционирования рассматривается распределение количества зарегистрированных событий по часам суток. Анализ позволяет оценить непрерывность и логическую согласованность временной структуры данных мобильного позиционирования. В частности, наблюдается снижение активности в ночное время с достижением минимальных значений в период с 05:00 до 06:00 часов, после чего фиксируется рост активности начиная с 07:00 часов, с последующим достижением пиковых значений в дневное (рабочее) время и постепенным снижением в вечерние часы. Данная закономерность свидетельствует о корректности формирования и обработки данных мобильного позиционирования.</w:t>
      </w:r>
    </w:p>
    <w:bookmarkEnd w:id="38"/>
    <w:bookmarkStart w:name="z45" w:id="39"/>
    <w:p>
      <w:pPr>
        <w:spacing w:after="0"/>
        <w:ind w:left="0"/>
        <w:jc w:val="both"/>
      </w:pPr>
      <w:r>
        <w:rPr>
          <w:rFonts w:ascii="Times New Roman"/>
          <w:b w:val="false"/>
          <w:i w:val="false"/>
          <w:color w:val="000000"/>
          <w:sz w:val="28"/>
        </w:rPr>
        <w:t>
      16. Проверка пространственной согласованности включает анализ географического расположения базовых станций сотовой связи. Основной задачей является подтверждение их нахождения в пределах государственной границы Республики Казахстан. В случае выявления аномалий проводится уточнение координат. По итогам корректировки базовые станции должны соответствовать установленным территориальным границам Республики Казахстан.</w:t>
      </w:r>
    </w:p>
    <w:bookmarkEnd w:id="39"/>
    <w:bookmarkStart w:name="z46" w:id="40"/>
    <w:p>
      <w:pPr>
        <w:spacing w:after="0"/>
        <w:ind w:left="0"/>
        <w:jc w:val="both"/>
      </w:pPr>
      <w:r>
        <w:rPr>
          <w:rFonts w:ascii="Times New Roman"/>
          <w:b w:val="false"/>
          <w:i w:val="false"/>
          <w:color w:val="000000"/>
          <w:sz w:val="28"/>
        </w:rPr>
        <w:t xml:space="preserve">
      17. Проверка структурной согласованности данных мобильного позиционирования включает анализ состава и форматов входных данных мобильного позиционирования, а также контроль наличия обязательных атрибутов, необходимых для дальнейшей обработки. </w:t>
      </w:r>
    </w:p>
    <w:bookmarkEnd w:id="40"/>
    <w:bookmarkStart w:name="z47" w:id="41"/>
    <w:p>
      <w:pPr>
        <w:spacing w:after="0"/>
        <w:ind w:left="0"/>
        <w:jc w:val="both"/>
      </w:pPr>
      <w:r>
        <w:rPr>
          <w:rFonts w:ascii="Times New Roman"/>
          <w:b w:val="false"/>
          <w:i w:val="false"/>
          <w:color w:val="000000"/>
          <w:sz w:val="28"/>
        </w:rPr>
        <w:t xml:space="preserve">
      18. В рамках структурной проверки Бюро осуществляется контроль корректности типов данных мобильного позиционирования, полноты заполнения полей, наличия пропусков, а также выявление аномальных или некорректных значений. </w:t>
      </w:r>
    </w:p>
    <w:bookmarkEnd w:id="41"/>
    <w:bookmarkStart w:name="z48" w:id="42"/>
    <w:p>
      <w:pPr>
        <w:spacing w:after="0"/>
        <w:ind w:left="0"/>
        <w:jc w:val="both"/>
      </w:pPr>
      <w:r>
        <w:rPr>
          <w:rFonts w:ascii="Times New Roman"/>
          <w:b w:val="false"/>
          <w:i w:val="false"/>
          <w:color w:val="000000"/>
          <w:sz w:val="28"/>
        </w:rPr>
        <w:t xml:space="preserve">
      19. Дополнительно Бюро проводится анализ распределения сигнальных данных по административно-территориальным единицам и временным интервалам в целях выявления возможных выбросов, провалов в данных или неравномерности покрытия. </w:t>
      </w:r>
    </w:p>
    <w:bookmarkEnd w:id="42"/>
    <w:bookmarkStart w:name="z49" w:id="43"/>
    <w:p>
      <w:pPr>
        <w:spacing w:after="0"/>
        <w:ind w:left="0"/>
        <w:jc w:val="both"/>
      </w:pPr>
      <w:r>
        <w:rPr>
          <w:rFonts w:ascii="Times New Roman"/>
          <w:b w:val="false"/>
          <w:i w:val="false"/>
          <w:color w:val="000000"/>
          <w:sz w:val="28"/>
        </w:rPr>
        <w:t>
      20. Результаты оценки качества данных мобильного позиционирования учитываются при настройке параметров последующей обработки, включая фильтрацию, агрегацию и интерпретацию показателей.</w:t>
      </w:r>
    </w:p>
    <w:bookmarkEnd w:id="43"/>
    <w:bookmarkStart w:name="z50" w:id="44"/>
    <w:p>
      <w:pPr>
        <w:spacing w:after="0"/>
        <w:ind w:left="0"/>
        <w:jc w:val="left"/>
      </w:pPr>
      <w:r>
        <w:rPr>
          <w:rFonts w:ascii="Times New Roman"/>
          <w:b/>
          <w:i w:val="false"/>
          <w:color w:val="000000"/>
        </w:rPr>
        <w:t xml:space="preserve"> Параграф 2. Подготовка входных данных мобильного позиционирования</w:t>
      </w:r>
    </w:p>
    <w:bookmarkEnd w:id="44"/>
    <w:bookmarkStart w:name="z51" w:id="45"/>
    <w:p>
      <w:pPr>
        <w:spacing w:after="0"/>
        <w:ind w:left="0"/>
        <w:jc w:val="both"/>
      </w:pPr>
      <w:r>
        <w:rPr>
          <w:rFonts w:ascii="Times New Roman"/>
          <w:b w:val="false"/>
          <w:i w:val="false"/>
          <w:color w:val="000000"/>
          <w:sz w:val="28"/>
        </w:rPr>
        <w:t>
      21. Подготовка входных данных мобильного позиционирования осуществляется Бюро в целях обеспечения качества и достоверности статистических показателей внутреннего и въездного туризма. Подготовка данных мобильного позиционирования включает процедуры фильтрации, очистки, контроля полноты и формирования аналитического массива данных, используемого на последующих этапах обработки.</w:t>
      </w:r>
    </w:p>
    <w:bookmarkEnd w:id="45"/>
    <w:bookmarkStart w:name="z52" w:id="46"/>
    <w:p>
      <w:pPr>
        <w:spacing w:after="0"/>
        <w:ind w:left="0"/>
        <w:jc w:val="both"/>
      </w:pPr>
      <w:r>
        <w:rPr>
          <w:rFonts w:ascii="Times New Roman"/>
          <w:b w:val="false"/>
          <w:i w:val="false"/>
          <w:color w:val="000000"/>
          <w:sz w:val="28"/>
        </w:rPr>
        <w:t>
      22. На этапе подготовки данных мобильного позиционирования из обработки исключаются устройства, не связанные с мобильностью населения. К таким устройствам относятся SIM-карты, используемые в системах Machine-to-Machine (M2M) и Internet of Things (IoT), включая интеллектуальные счетчики, платежные терминалы, системы мониторинга транспорта, трекеры, охранные системы и иные автоматизированные устройства, функционирующие без непосредственного участия человека.</w:t>
      </w:r>
    </w:p>
    <w:bookmarkEnd w:id="46"/>
    <w:bookmarkStart w:name="z53" w:id="47"/>
    <w:p>
      <w:pPr>
        <w:spacing w:after="0"/>
        <w:ind w:left="0"/>
        <w:jc w:val="both"/>
      </w:pPr>
      <w:r>
        <w:rPr>
          <w:rFonts w:ascii="Times New Roman"/>
          <w:b w:val="false"/>
          <w:i w:val="false"/>
          <w:color w:val="000000"/>
          <w:sz w:val="28"/>
        </w:rPr>
        <w:t>
      23. Выявление и исключение указанных устройств осуществляется алгоритмическими методами на основе анализа интенсивности и характера мобильной активности абонентов. В качестве одного из критериев используется количество сигнальных данных, зарегистрированных в течение суток. Максимальное количество сигнальных данных для одного абонента не должно превышать установленное пороговое значение, равное 400 событиям в сутки. В случае превышения указанного порога абонент исключается из дальнейшей обработки как потенциальное техническое устройство.</w:t>
      </w:r>
    </w:p>
    <w:bookmarkEnd w:id="47"/>
    <w:bookmarkStart w:name="z54" w:id="48"/>
    <w:p>
      <w:pPr>
        <w:spacing w:after="0"/>
        <w:ind w:left="0"/>
        <w:jc w:val="both"/>
      </w:pPr>
      <w:r>
        <w:rPr>
          <w:rFonts w:ascii="Times New Roman"/>
          <w:b w:val="false"/>
          <w:i w:val="false"/>
          <w:color w:val="000000"/>
          <w:sz w:val="28"/>
        </w:rPr>
        <w:t>
      24. Дополнительно Бюро осуществляется анализ пространственной мобильности абонентов. Из обработки исключаются устройства, характеризующиеся отсутствием перемещений либо длительным нахождением в пределах ограниченной территории без признаков реальной мобильности. К таким устройствам относятся стационарные технические объекты и оборудование, использующие SIM-карты для передачи данных.</w:t>
      </w:r>
    </w:p>
    <w:bookmarkEnd w:id="48"/>
    <w:bookmarkStart w:name="z55" w:id="49"/>
    <w:p>
      <w:pPr>
        <w:spacing w:after="0"/>
        <w:ind w:left="0"/>
        <w:jc w:val="both"/>
      </w:pPr>
      <w:r>
        <w:rPr>
          <w:rFonts w:ascii="Times New Roman"/>
          <w:b w:val="false"/>
          <w:i w:val="false"/>
          <w:color w:val="000000"/>
          <w:sz w:val="28"/>
        </w:rPr>
        <w:t>
      25. После исключения технических устройств Бюро выполняется очистка данных мобильного позиционирования от дублирующихся и аномальных записей. В процессе очистки удаляются повторяющиеся сигнальные данные, имеющие одинаковые временные и пространственные характеристики для одного и того же абонента. Последовательные регистрации абонента на одной и той же базовой станции в течение короткого промежутка времени без изменения местоположения рассматриваются как единое наблюдение и учитываются однократно.</w:t>
      </w:r>
    </w:p>
    <w:bookmarkEnd w:id="49"/>
    <w:bookmarkStart w:name="z56" w:id="50"/>
    <w:p>
      <w:pPr>
        <w:spacing w:after="0"/>
        <w:ind w:left="0"/>
        <w:jc w:val="both"/>
      </w:pPr>
      <w:r>
        <w:rPr>
          <w:rFonts w:ascii="Times New Roman"/>
          <w:b w:val="false"/>
          <w:i w:val="false"/>
          <w:color w:val="000000"/>
          <w:sz w:val="28"/>
        </w:rPr>
        <w:t xml:space="preserve">
      26. На следующем этапе осуществляется контроль полноты данных мобильного позиционирования. Контроль полноты включает оценку регулярности поступления сигнальных данных, анализ временных разрывов в наблюдениях и выявление случаев неполноты данных мобильного позиционирования для достоверного определения перемещений абонента. </w:t>
      </w:r>
    </w:p>
    <w:bookmarkEnd w:id="50"/>
    <w:bookmarkStart w:name="z57" w:id="51"/>
    <w:p>
      <w:pPr>
        <w:spacing w:after="0"/>
        <w:ind w:left="0"/>
        <w:jc w:val="both"/>
      </w:pPr>
      <w:r>
        <w:rPr>
          <w:rFonts w:ascii="Times New Roman"/>
          <w:b w:val="false"/>
          <w:i w:val="false"/>
          <w:color w:val="000000"/>
          <w:sz w:val="28"/>
        </w:rPr>
        <w:t>
      27. Результатом подготовки входных данных мобильного позиционирования является очищенный и стандартизированный массив данных мобильного позиционирования, содержащий сведения, необходимые для последующего определения мест постоянного проживания, формирования визитов и поездок, а также расчета показателей внутреннего и въездного туризма.</w:t>
      </w:r>
    </w:p>
    <w:bookmarkEnd w:id="51"/>
    <w:bookmarkStart w:name="z58" w:id="52"/>
    <w:p>
      <w:pPr>
        <w:spacing w:after="0"/>
        <w:ind w:left="0"/>
        <w:jc w:val="left"/>
      </w:pPr>
      <w:r>
        <w:rPr>
          <w:rFonts w:ascii="Times New Roman"/>
          <w:b/>
          <w:i w:val="false"/>
          <w:color w:val="000000"/>
        </w:rPr>
        <w:t xml:space="preserve"> Параграф 3. Определение географических положений сигнальных данных мобильного позиционирования</w:t>
      </w:r>
    </w:p>
    <w:bookmarkEnd w:id="52"/>
    <w:bookmarkStart w:name="z59" w:id="53"/>
    <w:p>
      <w:pPr>
        <w:spacing w:after="0"/>
        <w:ind w:left="0"/>
        <w:jc w:val="both"/>
      </w:pPr>
      <w:r>
        <w:rPr>
          <w:rFonts w:ascii="Times New Roman"/>
          <w:b w:val="false"/>
          <w:i w:val="false"/>
          <w:color w:val="000000"/>
          <w:sz w:val="28"/>
        </w:rPr>
        <w:t>
      28. В исходных данных мобильного позиционирования географическое положение сигнальных данных определяется координатами обслуживающих базовых станций операторов сотовой связи. Указанные координаты не отражают точное местоположение абонента, однако обеспечивают достаточный уровень пространственной точности для формирования статистических показателей внутреннего и въездного туризма при условии последующей пространственной агрегации данных мобильного позиционирования.</w:t>
      </w:r>
    </w:p>
    <w:bookmarkEnd w:id="53"/>
    <w:bookmarkStart w:name="z60" w:id="54"/>
    <w:p>
      <w:pPr>
        <w:spacing w:after="0"/>
        <w:ind w:left="0"/>
        <w:jc w:val="both"/>
      </w:pPr>
      <w:r>
        <w:rPr>
          <w:rFonts w:ascii="Times New Roman"/>
          <w:b w:val="false"/>
          <w:i w:val="false"/>
          <w:color w:val="000000"/>
          <w:sz w:val="28"/>
        </w:rPr>
        <w:t xml:space="preserve">
      29. Географическая привязка сигнальных данных осуществляется на основе идентификаторов базовых станций с использованием сведений о географическом местоположении базовых станций операторов сотовой связи. </w:t>
      </w:r>
    </w:p>
    <w:bookmarkEnd w:id="54"/>
    <w:bookmarkStart w:name="z61" w:id="55"/>
    <w:p>
      <w:pPr>
        <w:spacing w:after="0"/>
        <w:ind w:left="0"/>
        <w:jc w:val="both"/>
      </w:pPr>
      <w:r>
        <w:rPr>
          <w:rFonts w:ascii="Times New Roman"/>
          <w:b w:val="false"/>
          <w:i w:val="false"/>
          <w:color w:val="000000"/>
          <w:sz w:val="28"/>
        </w:rPr>
        <w:t>
      30. В целях обеспечения единообразия пространственной обработки данных мобильного позиционирования Бюро применяется шестиугольная геопространственная сетка H3 (разрешение 9). Каждому сигнальному событию присваивается идентификатор соответствующей H3-ячейки установленного уровня пространственного разрешения.</w:t>
      </w:r>
    </w:p>
    <w:bookmarkEnd w:id="55"/>
    <w:bookmarkStart w:name="z62" w:id="56"/>
    <w:p>
      <w:pPr>
        <w:spacing w:after="0"/>
        <w:ind w:left="0"/>
        <w:jc w:val="both"/>
      </w:pPr>
      <w:r>
        <w:rPr>
          <w:rFonts w:ascii="Times New Roman"/>
          <w:b w:val="false"/>
          <w:i w:val="false"/>
          <w:color w:val="000000"/>
          <w:sz w:val="28"/>
        </w:rPr>
        <w:t>
      31. Дальнейшая обработка данных мобильного позиционирования осуществляется на уровне H3-ячеек с последующей агрегацией результатов до административно-территориальных единиц в соответствии с классификатором административно-территориальных объектов Республики Казахстан.</w:t>
      </w:r>
    </w:p>
    <w:bookmarkEnd w:id="56"/>
    <w:bookmarkStart w:name="z63" w:id="57"/>
    <w:p>
      <w:pPr>
        <w:spacing w:after="0"/>
        <w:ind w:left="0"/>
        <w:jc w:val="both"/>
      </w:pPr>
      <w:r>
        <w:rPr>
          <w:rFonts w:ascii="Times New Roman"/>
          <w:b w:val="false"/>
          <w:i w:val="false"/>
          <w:color w:val="000000"/>
          <w:sz w:val="28"/>
        </w:rPr>
        <w:t>
      32. После определения географических положений Бюро осуществляется нормализация сигнальных данных мобильного позиционирования.</w:t>
      </w:r>
    </w:p>
    <w:bookmarkEnd w:id="57"/>
    <w:bookmarkStart w:name="z64" w:id="58"/>
    <w:p>
      <w:pPr>
        <w:spacing w:after="0"/>
        <w:ind w:left="0"/>
        <w:jc w:val="left"/>
      </w:pPr>
      <w:r>
        <w:rPr>
          <w:rFonts w:ascii="Times New Roman"/>
          <w:b/>
          <w:i w:val="false"/>
          <w:color w:val="000000"/>
        </w:rPr>
        <w:t xml:space="preserve"> Глава 4. Определение обычной среды проживания абонента</w:t>
      </w:r>
    </w:p>
    <w:bookmarkEnd w:id="58"/>
    <w:bookmarkStart w:name="z65" w:id="59"/>
    <w:p>
      <w:pPr>
        <w:spacing w:after="0"/>
        <w:ind w:left="0"/>
        <w:jc w:val="left"/>
      </w:pPr>
      <w:r>
        <w:rPr>
          <w:rFonts w:ascii="Times New Roman"/>
          <w:b/>
          <w:i w:val="false"/>
          <w:color w:val="000000"/>
        </w:rPr>
        <w:t xml:space="preserve"> Параграф 1. Определение якорных точек и постоянного места проживания</w:t>
      </w:r>
    </w:p>
    <w:bookmarkEnd w:id="59"/>
    <w:bookmarkStart w:name="z66" w:id="60"/>
    <w:p>
      <w:pPr>
        <w:spacing w:after="0"/>
        <w:ind w:left="0"/>
        <w:jc w:val="both"/>
      </w:pPr>
      <w:r>
        <w:rPr>
          <w:rFonts w:ascii="Times New Roman"/>
          <w:b w:val="false"/>
          <w:i w:val="false"/>
          <w:color w:val="000000"/>
          <w:sz w:val="28"/>
        </w:rPr>
        <w:t>
      33. Определение якорных точек осуществляется Бюро на основе анализа пространственно-временных характеристик данных мобильного позиционирования, включая частоту посещения, регулярность и продолжительность присутствия абонента в соответствующих географических единицах.</w:t>
      </w:r>
    </w:p>
    <w:bookmarkEnd w:id="60"/>
    <w:bookmarkStart w:name="z67" w:id="61"/>
    <w:p>
      <w:pPr>
        <w:spacing w:after="0"/>
        <w:ind w:left="0"/>
        <w:jc w:val="both"/>
      </w:pPr>
      <w:r>
        <w:rPr>
          <w:rFonts w:ascii="Times New Roman"/>
          <w:b w:val="false"/>
          <w:i w:val="false"/>
          <w:color w:val="000000"/>
          <w:sz w:val="28"/>
        </w:rPr>
        <w:t>
      34. Определение якорных точек осуществляется на ежемесячной основе с использованием агрегированных данных за соответствующий период.</w:t>
      </w:r>
    </w:p>
    <w:bookmarkEnd w:id="61"/>
    <w:bookmarkStart w:name="z68" w:id="62"/>
    <w:p>
      <w:pPr>
        <w:spacing w:after="0"/>
        <w:ind w:left="0"/>
        <w:jc w:val="both"/>
      </w:pPr>
      <w:r>
        <w:rPr>
          <w:rFonts w:ascii="Times New Roman"/>
          <w:b w:val="false"/>
          <w:i w:val="false"/>
          <w:color w:val="000000"/>
          <w:sz w:val="28"/>
        </w:rPr>
        <w:t xml:space="preserve">
      35. Для целей статистики туризма используются два типа якорных точек: место постоянного проживания и иные регулярно посещаемые точки. </w:t>
      </w:r>
    </w:p>
    <w:bookmarkEnd w:id="62"/>
    <w:bookmarkStart w:name="z69" w:id="63"/>
    <w:p>
      <w:pPr>
        <w:spacing w:after="0"/>
        <w:ind w:left="0"/>
        <w:jc w:val="both"/>
      </w:pPr>
      <w:r>
        <w:rPr>
          <w:rFonts w:ascii="Times New Roman"/>
          <w:b w:val="false"/>
          <w:i w:val="false"/>
          <w:color w:val="000000"/>
          <w:sz w:val="28"/>
        </w:rPr>
        <w:t xml:space="preserve">
      36. Место постоянного проживания может быть только одно в каждый момент времени и определяется для отчетного месяца с использованием ретроспективного окна продолжительностью 12 месяцев. Место постоянного проживания может изменяться со временем, однако одновременное существование нескольких мест постоянного проживания не допускается. </w:t>
      </w:r>
    </w:p>
    <w:bookmarkEnd w:id="63"/>
    <w:bookmarkStart w:name="z70" w:id="64"/>
    <w:p>
      <w:pPr>
        <w:spacing w:after="0"/>
        <w:ind w:left="0"/>
        <w:jc w:val="both"/>
      </w:pPr>
      <w:r>
        <w:rPr>
          <w:rFonts w:ascii="Times New Roman"/>
          <w:b w:val="false"/>
          <w:i w:val="false"/>
          <w:color w:val="000000"/>
          <w:sz w:val="28"/>
        </w:rPr>
        <w:t>
      37. Для всех ежемесячных якорных точек в пределах ретроспективного периода рассчитываются и суммируются показатели, характеризующие интенсивность и регулярность присутствия абонента, включая количество уникальных календарных дней присутствия, общее количество сигнальных данных и количество временных промежутков между днями активности.</w:t>
      </w:r>
    </w:p>
    <w:bookmarkEnd w:id="64"/>
    <w:bookmarkStart w:name="z71" w:id="65"/>
    <w:p>
      <w:pPr>
        <w:spacing w:after="0"/>
        <w:ind w:left="0"/>
        <w:jc w:val="both"/>
      </w:pPr>
      <w:r>
        <w:rPr>
          <w:rFonts w:ascii="Times New Roman"/>
          <w:b w:val="false"/>
          <w:i w:val="false"/>
          <w:color w:val="000000"/>
          <w:sz w:val="28"/>
        </w:rPr>
        <w:t>
      38. Местом постоянного проживания признается якорная точка, характеризующаяся наибольшим количеством уникальных дней присутствия. При равенстве данного показателя последовательно учитываются количество сигнальных данных и количество временных промежутков между днями активности.</w:t>
      </w:r>
    </w:p>
    <w:bookmarkEnd w:id="65"/>
    <w:bookmarkStart w:name="z72" w:id="66"/>
    <w:p>
      <w:pPr>
        <w:spacing w:after="0"/>
        <w:ind w:left="0"/>
        <w:jc w:val="both"/>
      </w:pPr>
      <w:r>
        <w:rPr>
          <w:rFonts w:ascii="Times New Roman"/>
          <w:b w:val="false"/>
          <w:i w:val="false"/>
          <w:color w:val="000000"/>
          <w:sz w:val="28"/>
        </w:rPr>
        <w:t xml:space="preserve">
      39. Под временным промежутком понимается разрыв между последовательными днями активности абонента, равный или превышающий два календарных дня. </w:t>
      </w:r>
    </w:p>
    <w:bookmarkEnd w:id="66"/>
    <w:bookmarkStart w:name="z73" w:id="67"/>
    <w:p>
      <w:pPr>
        <w:spacing w:after="0"/>
        <w:ind w:left="0"/>
        <w:jc w:val="both"/>
      </w:pPr>
      <w:r>
        <w:rPr>
          <w:rFonts w:ascii="Times New Roman"/>
          <w:b w:val="false"/>
          <w:i w:val="false"/>
          <w:color w:val="000000"/>
          <w:sz w:val="28"/>
        </w:rPr>
        <w:t>
      40. В случае отсутствия возможности определения места постоянного проживания на основе ретроспективных данных мобильного позиционирования допускается использование проспективного временного окна аналогичной продолжительности.</w:t>
      </w:r>
    </w:p>
    <w:bookmarkEnd w:id="67"/>
    <w:bookmarkStart w:name="z74" w:id="68"/>
    <w:p>
      <w:pPr>
        <w:spacing w:after="0"/>
        <w:ind w:left="0"/>
        <w:jc w:val="both"/>
      </w:pPr>
      <w:r>
        <w:rPr>
          <w:rFonts w:ascii="Times New Roman"/>
          <w:b w:val="false"/>
          <w:i w:val="false"/>
          <w:color w:val="000000"/>
          <w:sz w:val="28"/>
        </w:rPr>
        <w:t>
      41. Помимо места постоянного проживания определяются иные регулярно посещаемые якорные точки, используемые для формирования обычной среды абонента.</w:t>
      </w:r>
    </w:p>
    <w:bookmarkEnd w:id="68"/>
    <w:bookmarkStart w:name="z75" w:id="69"/>
    <w:p>
      <w:pPr>
        <w:spacing w:after="0"/>
        <w:ind w:left="0"/>
        <w:jc w:val="left"/>
      </w:pPr>
      <w:r>
        <w:rPr>
          <w:rFonts w:ascii="Times New Roman"/>
          <w:b/>
          <w:i w:val="false"/>
          <w:color w:val="000000"/>
        </w:rPr>
        <w:t xml:space="preserve"> Параграф 2. Определение обычной среды</w:t>
      </w:r>
    </w:p>
    <w:bookmarkEnd w:id="69"/>
    <w:bookmarkStart w:name="z76" w:id="70"/>
    <w:p>
      <w:pPr>
        <w:spacing w:after="0"/>
        <w:ind w:left="0"/>
        <w:jc w:val="both"/>
      </w:pPr>
      <w:r>
        <w:rPr>
          <w:rFonts w:ascii="Times New Roman"/>
          <w:b w:val="false"/>
          <w:i w:val="false"/>
          <w:color w:val="000000"/>
          <w:sz w:val="28"/>
        </w:rPr>
        <w:t>
      42. Обычная среда определяется Бюро как совокупность административно-территориальных единиц, в пределах которых осуществляется регулярная жизнедеятельность обезличенного абонента. Формирование обычной среды осуществляется на основе выявленных якорных точек, включая место постоянного проживания и иные регулярно посещаемые локации. К обычной среде относятся административно-территориальные единицы, содержащие хотя бы одну якорную точку абонента.</w:t>
      </w:r>
    </w:p>
    <w:bookmarkEnd w:id="70"/>
    <w:bookmarkStart w:name="z77" w:id="71"/>
    <w:p>
      <w:pPr>
        <w:spacing w:after="0"/>
        <w:ind w:left="0"/>
        <w:jc w:val="both"/>
      </w:pPr>
      <w:r>
        <w:rPr>
          <w:rFonts w:ascii="Times New Roman"/>
          <w:b w:val="false"/>
          <w:i w:val="false"/>
          <w:color w:val="000000"/>
          <w:sz w:val="28"/>
        </w:rPr>
        <w:t>
      43. При формировании обычной среды учитываются частота и регулярность посещения административно-территориальных единиц. Обычная среда может включать несколько административно-территориальных единиц, если они соответствуют критериям регулярного посещения.</w:t>
      </w:r>
    </w:p>
    <w:bookmarkEnd w:id="71"/>
    <w:bookmarkStart w:name="z78" w:id="72"/>
    <w:p>
      <w:pPr>
        <w:spacing w:after="0"/>
        <w:ind w:left="0"/>
        <w:jc w:val="both"/>
      </w:pPr>
      <w:r>
        <w:rPr>
          <w:rFonts w:ascii="Times New Roman"/>
          <w:b w:val="false"/>
          <w:i w:val="false"/>
          <w:color w:val="000000"/>
          <w:sz w:val="28"/>
        </w:rPr>
        <w:t>
      44. Обычная среда используется для разграничения повседневной мобильности населения и туристических перемещений. Перемещения, осуществляемые исключительно в пределах обычной среды, относятся к регулярной жизнедеятельности абонента и не рассматриваются в качестве туристических.</w:t>
      </w:r>
    </w:p>
    <w:bookmarkEnd w:id="72"/>
    <w:bookmarkStart w:name="z79" w:id="73"/>
    <w:p>
      <w:pPr>
        <w:spacing w:after="0"/>
        <w:ind w:left="0"/>
        <w:jc w:val="both"/>
      </w:pPr>
      <w:r>
        <w:rPr>
          <w:rFonts w:ascii="Times New Roman"/>
          <w:b w:val="false"/>
          <w:i w:val="false"/>
          <w:color w:val="000000"/>
          <w:sz w:val="28"/>
        </w:rPr>
        <w:t>
      45. Определение обычной среды осуществляется Бюро на уровне регионов, районов и городов республиканского значения согласно классификатору административно-территориальных объектов Республики Казахстан. Использование данного уровня обеспечивает сопоставимость результатов и устойчивость статистических оценок независимо от особенностей расселения населения и плотности мобильной активности.</w:t>
      </w:r>
    </w:p>
    <w:bookmarkEnd w:id="73"/>
    <w:bookmarkStart w:name="z80" w:id="74"/>
    <w:p>
      <w:pPr>
        <w:spacing w:after="0"/>
        <w:ind w:left="0"/>
        <w:jc w:val="left"/>
      </w:pPr>
      <w:r>
        <w:rPr>
          <w:rFonts w:ascii="Times New Roman"/>
          <w:b/>
          <w:i w:val="false"/>
          <w:color w:val="000000"/>
        </w:rPr>
        <w:t xml:space="preserve"> Параграф 3. Особенности определения обычной среды для внутреннего и въездного туризма</w:t>
      </w:r>
    </w:p>
    <w:bookmarkEnd w:id="74"/>
    <w:bookmarkStart w:name="z81" w:id="75"/>
    <w:p>
      <w:pPr>
        <w:spacing w:after="0"/>
        <w:ind w:left="0"/>
        <w:jc w:val="both"/>
      </w:pPr>
      <w:r>
        <w:rPr>
          <w:rFonts w:ascii="Times New Roman"/>
          <w:b w:val="false"/>
          <w:i w:val="false"/>
          <w:color w:val="000000"/>
          <w:sz w:val="28"/>
        </w:rPr>
        <w:t>
      46. Для целей формирования показателей внутреннего туризма обычная среда определяется Бюро на основе места постоянного проживания абонента и иных регулярно посещаемых якорных точек. Перемещения за пределы обычной среды рассматриваются как потенциальные туристические перемещения и подлежат дальнейшему анализу в соответствии с критериями формирования показателей внутреннего туризма.</w:t>
      </w:r>
    </w:p>
    <w:bookmarkEnd w:id="75"/>
    <w:bookmarkStart w:name="z82" w:id="76"/>
    <w:p>
      <w:pPr>
        <w:spacing w:after="0"/>
        <w:ind w:left="0"/>
        <w:jc w:val="both"/>
      </w:pPr>
      <w:r>
        <w:rPr>
          <w:rFonts w:ascii="Times New Roman"/>
          <w:b w:val="false"/>
          <w:i w:val="false"/>
          <w:color w:val="000000"/>
          <w:sz w:val="28"/>
        </w:rPr>
        <w:t>
      47. Для целей формирования показателей въездного туризма используются данные мобильного позиционирования иностранных абонентов, зарегистрированных в сетях мобильной связи Республики Казахстан в режиме международного роуминга. Страна проживания посетителя определяется на основании мобильного кода страны (Mobile Country Code, MCC), содержащегося в международном идентификаторе мобильного абонента.</w:t>
      </w:r>
    </w:p>
    <w:bookmarkEnd w:id="76"/>
    <w:bookmarkStart w:name="z83" w:id="77"/>
    <w:p>
      <w:pPr>
        <w:spacing w:after="0"/>
        <w:ind w:left="0"/>
        <w:jc w:val="both"/>
      </w:pPr>
      <w:r>
        <w:rPr>
          <w:rFonts w:ascii="Times New Roman"/>
          <w:b w:val="false"/>
          <w:i w:val="false"/>
          <w:color w:val="000000"/>
          <w:sz w:val="28"/>
        </w:rPr>
        <w:t>
      48. В целях исключения из статистики туризма лиц, фактически проживающих на территории Республики Казахстан, осуществляется анализ продолжительности и регулярности присутствия иностранных абонентов в стране. Абоненты, характеризующиеся устойчивым и продолжительным присутствием на территории Республики Казахстан в течение 12 месяцев наблюдения, относятся к категории фактических резидентов и исключаются из дальнейших расчетов показателей въездного туризма.</w:t>
      </w:r>
    </w:p>
    <w:bookmarkEnd w:id="77"/>
    <w:bookmarkStart w:name="z84" w:id="78"/>
    <w:p>
      <w:pPr>
        <w:spacing w:after="0"/>
        <w:ind w:left="0"/>
        <w:jc w:val="both"/>
      </w:pPr>
      <w:r>
        <w:rPr>
          <w:rFonts w:ascii="Times New Roman"/>
          <w:b w:val="false"/>
          <w:i w:val="false"/>
          <w:color w:val="000000"/>
          <w:sz w:val="28"/>
        </w:rPr>
        <w:t>
      49. Для иностранных абонентов, не отнесенных к категории фактических резидентов, все визиты и поездки на территории Республики Казахстан рассматриваются как осуществляемые вне их обычной среды проживания и используются для формирования показателей въездного туризма.</w:t>
      </w:r>
    </w:p>
    <w:bookmarkEnd w:id="78"/>
    <w:bookmarkStart w:name="z85" w:id="79"/>
    <w:p>
      <w:pPr>
        <w:spacing w:after="0"/>
        <w:ind w:left="0"/>
        <w:jc w:val="left"/>
      </w:pPr>
      <w:r>
        <w:rPr>
          <w:rFonts w:ascii="Times New Roman"/>
          <w:b/>
          <w:i w:val="false"/>
          <w:color w:val="000000"/>
        </w:rPr>
        <w:t xml:space="preserve"> Глава 5. Показатели статистики туризма на основе данных мобильного позиционирования</w:t>
      </w:r>
    </w:p>
    <w:bookmarkEnd w:id="79"/>
    <w:bookmarkStart w:name="z86" w:id="80"/>
    <w:p>
      <w:pPr>
        <w:spacing w:after="0"/>
        <w:ind w:left="0"/>
        <w:jc w:val="both"/>
      </w:pPr>
      <w:r>
        <w:rPr>
          <w:rFonts w:ascii="Times New Roman"/>
          <w:b w:val="false"/>
          <w:i w:val="false"/>
          <w:color w:val="000000"/>
          <w:sz w:val="28"/>
        </w:rPr>
        <w:t>
      50. В целях получения статистических оценок, характеризующих генеральную совокупность посетителей и туристов, результаты наблюдений, сформированные на основе данных мобильного позиционирования, подлежат экстраполяции посредством применения статистических весов.</w:t>
      </w:r>
    </w:p>
    <w:bookmarkEnd w:id="80"/>
    <w:bookmarkStart w:name="z87" w:id="81"/>
    <w:p>
      <w:pPr>
        <w:spacing w:after="0"/>
        <w:ind w:left="0"/>
        <w:jc w:val="both"/>
      </w:pPr>
      <w:r>
        <w:rPr>
          <w:rFonts w:ascii="Times New Roman"/>
          <w:b w:val="false"/>
          <w:i w:val="false"/>
          <w:color w:val="000000"/>
          <w:sz w:val="28"/>
        </w:rPr>
        <w:t xml:space="preserve">
      51. Экстраполяция осуществляется Бюро для обеспечения репрезентативности статистических показателей и приведения распределения наблюдаемых единиц к официальным демографическим и территориальным характеристикам населения. </w:t>
      </w:r>
    </w:p>
    <w:bookmarkEnd w:id="81"/>
    <w:bookmarkStart w:name="z88" w:id="82"/>
    <w:p>
      <w:pPr>
        <w:spacing w:after="0"/>
        <w:ind w:left="0"/>
        <w:jc w:val="both"/>
      </w:pPr>
      <w:r>
        <w:rPr>
          <w:rFonts w:ascii="Times New Roman"/>
          <w:b w:val="false"/>
          <w:i w:val="false"/>
          <w:color w:val="000000"/>
          <w:sz w:val="28"/>
        </w:rPr>
        <w:t>
      52. Статистические веса рассчитываются Бюро на основании официальной статистической информации о численности и структуре населения и применяются при расчете итоговых показателей туризма на всех уровнях территориальной агрегации.</w:t>
      </w:r>
    </w:p>
    <w:bookmarkEnd w:id="82"/>
    <w:bookmarkStart w:name="z89" w:id="83"/>
    <w:p>
      <w:pPr>
        <w:spacing w:after="0"/>
        <w:ind w:left="0"/>
        <w:jc w:val="both"/>
      </w:pPr>
      <w:r>
        <w:rPr>
          <w:rFonts w:ascii="Times New Roman"/>
          <w:b w:val="false"/>
          <w:i w:val="false"/>
          <w:color w:val="000000"/>
          <w:sz w:val="28"/>
        </w:rPr>
        <w:t>
      53. Статистические показатели отражают фактическую мобильность населения и не содержат информации о целях поездок, расходах или виде транспорта.</w:t>
      </w:r>
    </w:p>
    <w:bookmarkEnd w:id="83"/>
    <w:bookmarkStart w:name="z90" w:id="84"/>
    <w:p>
      <w:pPr>
        <w:spacing w:after="0"/>
        <w:ind w:left="0"/>
        <w:jc w:val="both"/>
      </w:pPr>
      <w:r>
        <w:rPr>
          <w:rFonts w:ascii="Times New Roman"/>
          <w:b w:val="false"/>
          <w:i w:val="false"/>
          <w:color w:val="000000"/>
          <w:sz w:val="28"/>
        </w:rPr>
        <w:t>
      54. Показатели формируются Бюро для анализа динамики, сезонных колебаний и пространственных различий, а также в качестве дополнительного источника информации при совершенствовании государственной политики в сфере туризма.</w:t>
      </w:r>
    </w:p>
    <w:bookmarkEnd w:id="84"/>
    <w:bookmarkStart w:name="z91" w:id="85"/>
    <w:p>
      <w:pPr>
        <w:spacing w:after="0"/>
        <w:ind w:left="0"/>
        <w:jc w:val="both"/>
      </w:pPr>
      <w:r>
        <w:rPr>
          <w:rFonts w:ascii="Times New Roman"/>
          <w:b w:val="false"/>
          <w:i w:val="false"/>
          <w:color w:val="000000"/>
          <w:sz w:val="28"/>
        </w:rPr>
        <w:t xml:space="preserve">
      55. Формирование показателей внутреннего туризма осуществляется Бюро на основе анализа поездок абонентов с учетом их принадлежности к обычной среде. </w:t>
      </w:r>
    </w:p>
    <w:bookmarkEnd w:id="85"/>
    <w:bookmarkStart w:name="z92" w:id="86"/>
    <w:p>
      <w:pPr>
        <w:spacing w:after="0"/>
        <w:ind w:left="0"/>
        <w:jc w:val="both"/>
      </w:pPr>
      <w:r>
        <w:rPr>
          <w:rFonts w:ascii="Times New Roman"/>
          <w:b w:val="false"/>
          <w:i w:val="false"/>
          <w:color w:val="000000"/>
          <w:sz w:val="28"/>
        </w:rPr>
        <w:t>
      56. Формирование показателей въездного туризма осуществляется Бюро на основе данных мобильного позиционирования иностранных абонентов, зарегистрированных в сетях мобильной связи Республики Казахстан в режиме международного роуминга.</w:t>
      </w:r>
    </w:p>
    <w:bookmarkEnd w:id="86"/>
    <w:bookmarkStart w:name="z93" w:id="87"/>
    <w:p>
      <w:pPr>
        <w:spacing w:after="0"/>
        <w:ind w:left="0"/>
        <w:jc w:val="both"/>
      </w:pPr>
      <w:r>
        <w:rPr>
          <w:rFonts w:ascii="Times New Roman"/>
          <w:b w:val="false"/>
          <w:i w:val="false"/>
          <w:color w:val="000000"/>
          <w:sz w:val="28"/>
        </w:rPr>
        <w:t>
      57. Формирование статистических показателей туризма осуществляется Бюро на основе последовательной идентификации визитов и поездок абонентов с использованием пространственно-временных характеристик их перемещений.</w:t>
      </w:r>
    </w:p>
    <w:bookmarkEnd w:id="87"/>
    <w:bookmarkStart w:name="z94" w:id="88"/>
    <w:p>
      <w:pPr>
        <w:spacing w:after="0"/>
        <w:ind w:left="0"/>
        <w:jc w:val="both"/>
      </w:pPr>
      <w:r>
        <w:rPr>
          <w:rFonts w:ascii="Times New Roman"/>
          <w:b w:val="false"/>
          <w:i w:val="false"/>
          <w:color w:val="000000"/>
          <w:sz w:val="28"/>
        </w:rPr>
        <w:t>
      58. Визит определяется как непрерывный период пребывания абонента в пределах одной административно-территориальной единицы. Визит начинается с момента первого зафиксированного сигнальных данных на соответствующей территории и завершается при переходе абонента в другую административно-территориальную единицу либо при отсутствии сигнальной активности в течение 24 часов.</w:t>
      </w:r>
    </w:p>
    <w:bookmarkEnd w:id="88"/>
    <w:bookmarkStart w:name="z95" w:id="89"/>
    <w:p>
      <w:pPr>
        <w:spacing w:after="0"/>
        <w:ind w:left="0"/>
        <w:jc w:val="both"/>
      </w:pPr>
      <w:r>
        <w:rPr>
          <w:rFonts w:ascii="Times New Roman"/>
          <w:b w:val="false"/>
          <w:i w:val="false"/>
          <w:color w:val="000000"/>
          <w:sz w:val="28"/>
        </w:rPr>
        <w:t>
      59. Поездка определяется как последовательность визитов, объединенных в единый период перемещения. Визиты относятся к одной поездке при условии, что временной разрыв между ними не превышает 12 часов.</w:t>
      </w:r>
    </w:p>
    <w:bookmarkEnd w:id="89"/>
    <w:bookmarkStart w:name="z96" w:id="90"/>
    <w:p>
      <w:pPr>
        <w:spacing w:after="0"/>
        <w:ind w:left="0"/>
        <w:jc w:val="both"/>
      </w:pPr>
      <w:r>
        <w:rPr>
          <w:rFonts w:ascii="Times New Roman"/>
          <w:b w:val="false"/>
          <w:i w:val="false"/>
          <w:color w:val="000000"/>
          <w:sz w:val="28"/>
        </w:rPr>
        <w:t>
      60. Количество проведенных ночей определяется на основании последовательности сигнальных данных, зарегистрированных в 04:00 часов ночного времени.</w:t>
      </w:r>
    </w:p>
    <w:bookmarkEnd w:id="90"/>
    <w:bookmarkStart w:name="z97" w:id="91"/>
    <w:p>
      <w:pPr>
        <w:spacing w:after="0"/>
        <w:ind w:left="0"/>
        <w:jc w:val="both"/>
      </w:pPr>
      <w:r>
        <w:rPr>
          <w:rFonts w:ascii="Times New Roman"/>
          <w:b w:val="false"/>
          <w:i w:val="false"/>
          <w:color w:val="000000"/>
          <w:sz w:val="28"/>
        </w:rPr>
        <w:t>
      61. Основным направлением поездки признается административно-территориальная единица, в пределах которой зафиксировано максимальное время пребывания абонента в рамках одной поездки. В случае равенства продолжительности пребывания основное направление определяется по максимальному количеству ночевок.</w:t>
      </w:r>
    </w:p>
    <w:bookmarkEnd w:id="91"/>
    <w:bookmarkStart w:name="z98" w:id="92"/>
    <w:p>
      <w:pPr>
        <w:spacing w:after="0"/>
        <w:ind w:left="0"/>
        <w:jc w:val="both"/>
      </w:pPr>
      <w:r>
        <w:rPr>
          <w:rFonts w:ascii="Times New Roman"/>
          <w:b w:val="false"/>
          <w:i w:val="false"/>
          <w:color w:val="000000"/>
          <w:sz w:val="28"/>
        </w:rPr>
        <w:t>
      62. Количество уникальных туристов представляет собой число уникальных абонентских идентификаторов, для которых в течение отчетного периода установлен факт совершения не менее одной туристической поездки на соответствующую территорию. Каждый абонентский идентификатор учитывается однократно независимо от количества совершенных поездок в отчетном периоде.</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