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ae482" w14:textId="67ae4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энергетики Республики Казахстан</w:t>
      </w:r>
    </w:p>
    <w:p>
      <w:pPr>
        <w:spacing w:after="0"/>
        <w:ind w:left="0"/>
        <w:jc w:val="both"/>
      </w:pPr>
      <w:r>
        <w:rPr>
          <w:rFonts w:ascii="Times New Roman"/>
          <w:b w:val="false"/>
          <w:i w:val="false"/>
          <w:color w:val="000000"/>
          <w:sz w:val="28"/>
        </w:rPr>
        <w:t>Приказ Министра энергетики Республики Казахстан от 30 июля 2026 года № 290-н/қ. Зарегистрирован в Министерстве юстиции Республики Казахстан 31 июля 2026 года № 39469</w:t>
      </w:r>
    </w:p>
    <w:p>
      <w:pPr>
        <w:spacing w:after="0"/>
        <w:ind w:left="0"/>
        <w:jc w:val="both"/>
      </w:pPr>
      <w:bookmarkStart w:name="z4" w:id="0"/>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энергетики Республики Казахстан, в которые вносятся изменения. </w:t>
      </w:r>
    </w:p>
    <w:bookmarkEnd w:id="1"/>
    <w:bookmarkStart w:name="z6" w:id="2"/>
    <w:p>
      <w:pPr>
        <w:spacing w:after="0"/>
        <w:ind w:left="0"/>
        <w:jc w:val="both"/>
      </w:pPr>
      <w:r>
        <w:rPr>
          <w:rFonts w:ascii="Times New Roman"/>
          <w:b w:val="false"/>
          <w:i w:val="false"/>
          <w:color w:val="000000"/>
          <w:sz w:val="28"/>
        </w:rPr>
        <w:t xml:space="preserve">
      2.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 </w:t>
      </w:r>
    </w:p>
    <w:bookmarkEnd w:id="2"/>
    <w:bookmarkStart w:name="z7"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8" w:id="4"/>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энергетики Республики Казахстан после его официального опубликования. </w:t>
      </w:r>
    </w:p>
    <w:bookmarkEnd w:id="4"/>
    <w:bookmarkStart w:name="z9" w:id="5"/>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энергетики Республики Казахстан. </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2026 года № 290-н/қ</w:t>
            </w:r>
          </w:p>
        </w:tc>
      </w:tr>
    </w:tbl>
    <w:bookmarkStart w:name="z13" w:id="7"/>
    <w:p>
      <w:pPr>
        <w:spacing w:after="0"/>
        <w:ind w:left="0"/>
        <w:jc w:val="left"/>
      </w:pPr>
      <w:r>
        <w:rPr>
          <w:rFonts w:ascii="Times New Roman"/>
          <w:b/>
          <w:i w:val="false"/>
          <w:color w:val="000000"/>
        </w:rPr>
        <w:t xml:space="preserve"> Перечень некоторых приказов Министра энергетики Республики Казахстан, в которые вносятся изменения</w:t>
      </w:r>
    </w:p>
    <w:bookmarkEnd w:id="7"/>
    <w:bookmarkStart w:name="z14" w:id="8"/>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3 декабря 2015 года № 683 "Об утверждении типовых договоров о покупке услуги по поддержанию готовности электрической мощности" (зарегистрирован в Реестре государственной регистрации нормативных правовых актов под № 12522) следующие изменения:</w:t>
      </w:r>
    </w:p>
    <w:bookmarkEnd w:id="8"/>
    <w:bookmarkStart w:name="z15"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покупке услуги по поддержанию готовности электрической мощности с победителем тендера на строительство генерирующих установок, вновь вводимых в эксплуатацию, утвержденном указанным приказом: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9 изложить в новой редакции:</w:t>
      </w:r>
    </w:p>
    <w:bookmarkStart w:name="z17" w:id="10"/>
    <w:p>
      <w:pPr>
        <w:spacing w:after="0"/>
        <w:ind w:left="0"/>
        <w:jc w:val="both"/>
      </w:pPr>
      <w:r>
        <w:rPr>
          <w:rFonts w:ascii="Times New Roman"/>
          <w:b w:val="false"/>
          <w:i w:val="false"/>
          <w:color w:val="000000"/>
          <w:sz w:val="28"/>
        </w:rPr>
        <w:t xml:space="preserve">
      "7) выставлять требование на оплату по соответствующей банковской гарантии или резервному аккредитиву (обеспечивающих исполнение настоящего Договора) при не предоставлении копии акта приемки в эксплуатацию вновь вводимых в эксплуатацию генерирующих установок, утвержденного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133 Строительного кодекса Республики Казахстан, по истечении месяца после окончания срока строительства, предусмотренного Правилами проведения тендера, в размере 100 %, от суммы финансового обеспечения исполнения условий настоящего Договора, а при удержания части финансового обеспечения исполнения условий настоящего Договора согласно подпункту 6) настоящего пункта, в размере 70 % от суммы финансового обеспечения исполнения условий настоящего Договора.";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пункта 11 изложить в новой редакции:</w:t>
      </w:r>
    </w:p>
    <w:bookmarkStart w:name="z19" w:id="11"/>
    <w:p>
      <w:pPr>
        <w:spacing w:after="0"/>
        <w:ind w:left="0"/>
        <w:jc w:val="both"/>
      </w:pPr>
      <w:r>
        <w:rPr>
          <w:rFonts w:ascii="Times New Roman"/>
          <w:b w:val="false"/>
          <w:i w:val="false"/>
          <w:color w:val="000000"/>
          <w:sz w:val="28"/>
        </w:rPr>
        <w:t>
      "20) предоставить копию акта приемки в эксплуатацию генерирующих установок, вновь вводимых в эксплуатацию, утвержденного в порядке, определенном Строительным кодексом Республики Казахстан в сроки, определенные подпунктом 2) пункта 43 Правила проведения тендера;";</w:t>
      </w:r>
    </w:p>
    <w:bookmarkEnd w:id="11"/>
    <w:bookmarkStart w:name="z20"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покупке услуги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утвержденном указанным приказом: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8 изложить в новой редакции: </w:t>
      </w:r>
    </w:p>
    <w:bookmarkStart w:name="z22" w:id="13"/>
    <w:p>
      <w:pPr>
        <w:spacing w:after="0"/>
        <w:ind w:left="0"/>
        <w:jc w:val="both"/>
      </w:pPr>
      <w:r>
        <w:rPr>
          <w:rFonts w:ascii="Times New Roman"/>
          <w:b w:val="false"/>
          <w:i w:val="false"/>
          <w:color w:val="000000"/>
          <w:sz w:val="28"/>
        </w:rPr>
        <w:t xml:space="preserve">
      "7) выставлять требование на оплату по соответствующей банковской гарантии или резервному аккредитиву (обеспечивающих исполнение настоящего Договора) при не предоставлении копии акта приемки в эксплуатацию вновь вводимых в эксплуатацию генерирующих установок с маневренным режимом генерации, утвержденного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133 Строительного кодекса Республики Казахстан, в течение 52 (пятидесяти двух) месяцев с даты подписания настоящего Договора для газовых электростанций, в течение 60 (шестидесяти) месяцев с даты подписания настоящего Договора, для гидроэлектростанций, в размере 100%, от суммы финансового обеспечения исполнения условий настоящего Договора, а при удержания части финансового обеспечения исполнения условий настоящего Договора согласно подпункту 6) настоящего пункта, в размере 70 % от суммы финансового обеспечения исполнения условий настоящего Договора.";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пункта 10 изложить в новой редакции:</w:t>
      </w:r>
    </w:p>
    <w:bookmarkStart w:name="z24" w:id="14"/>
    <w:p>
      <w:pPr>
        <w:spacing w:after="0"/>
        <w:ind w:left="0"/>
        <w:jc w:val="both"/>
      </w:pPr>
      <w:r>
        <w:rPr>
          <w:rFonts w:ascii="Times New Roman"/>
          <w:b w:val="false"/>
          <w:i w:val="false"/>
          <w:color w:val="000000"/>
          <w:sz w:val="28"/>
        </w:rPr>
        <w:t xml:space="preserve">
      "20) предоставить копию акта приемки в эксплуатацию вновь вводимых в эксплуатацию генерирующих установок с маневренным режимом генерации, утвержденного в порядке, определенном Строительным кодексом Республики Казахстан, в течение 52 (пятидесяти двух) месяцев с даты подписания настоящего Договора, в течение 60 (шестидесяти) месяцев с даты подписания настоящего Договора для гидроэлектростанций;"; </w:t>
      </w:r>
    </w:p>
    <w:bookmarkEnd w:id="14"/>
    <w:bookmarkStart w:name="z25"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покупке услуги по поддержанию готовности электрической мощности при строительстве вновь вводимых в эксплуатацию генерирующих установок мощностью более 35 МВт, использующих гидродинамическую энергию воды, утвержденном указанным приказом: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8 изложить в новой редакции:</w:t>
      </w:r>
    </w:p>
    <w:bookmarkStart w:name="z27" w:id="16"/>
    <w:p>
      <w:pPr>
        <w:spacing w:after="0"/>
        <w:ind w:left="0"/>
        <w:jc w:val="both"/>
      </w:pPr>
      <w:r>
        <w:rPr>
          <w:rFonts w:ascii="Times New Roman"/>
          <w:b w:val="false"/>
          <w:i w:val="false"/>
          <w:color w:val="000000"/>
          <w:sz w:val="28"/>
        </w:rPr>
        <w:t xml:space="preserve">
      "6) выставлять требование на оплату по соответствующей банковской гарантии или резервному аккредитиву (обеспечивающих исполнение настоящего Договора) при не предоставлении копии акта приемки в эксплуатацию вновь вводимых в эксплуатацию генерирующих установок, утвержденного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133 Строительного кодекса Республики Казахстан, по истечении месяца после окончания срока строительства, предусмотренного технико-экономическим обоснованием, в размере 100%, от суммы финансового обеспечения исполнения условий настоящего Договора, а при удержания части финансового обеспечения исполнения условий настоящего Договора согласно подпункту 6) настоящего пункта, в размере 70 % от суммы финансового обеспечения исполнения условий настоящего Договора.";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пункта 10 изложить в новой редакции:</w:t>
      </w:r>
    </w:p>
    <w:bookmarkStart w:name="z29" w:id="17"/>
    <w:p>
      <w:pPr>
        <w:spacing w:after="0"/>
        <w:ind w:left="0"/>
        <w:jc w:val="both"/>
      </w:pPr>
      <w:r>
        <w:rPr>
          <w:rFonts w:ascii="Times New Roman"/>
          <w:b w:val="false"/>
          <w:i w:val="false"/>
          <w:color w:val="000000"/>
          <w:sz w:val="28"/>
        </w:rPr>
        <w:t>
      "20) предоставить копию акта приемки в эксплуатацию генерирующих установок, вновь вводимых в эксплуатацию, утвержденного в порядке, определенном Строительным кодексом Республики Казахстан, в течении месяца после ввода в эксплуатацию вновь вводимых в эксплуатацию генерирующих установок мощностью более 35 МВт, использующих гидродинамическую энергию воды, в сроки, определенные ТЭО;".</w:t>
      </w:r>
    </w:p>
    <w:bookmarkEnd w:id="17"/>
    <w:bookmarkStart w:name="z30" w:id="18"/>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3 декабря 2015 года № 686 "Об утверждении Правил проведения аттестации электрической мощности генерирующих установок" (зарегистрирован в Реестре государственной регистрации нормативных правовых актов под № 12489) следующее изменение:</w:t>
      </w:r>
    </w:p>
    <w:bookmarkEnd w:id="18"/>
    <w:bookmarkStart w:name="z31"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аттестации электрической мощности генерирующих установок, утвержденных указанным приказом:</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новой редакции:</w:t>
      </w:r>
    </w:p>
    <w:bookmarkStart w:name="z33" w:id="20"/>
    <w:p>
      <w:pPr>
        <w:spacing w:after="0"/>
        <w:ind w:left="0"/>
        <w:jc w:val="both"/>
      </w:pPr>
      <w:r>
        <w:rPr>
          <w:rFonts w:ascii="Times New Roman"/>
          <w:b w:val="false"/>
          <w:i w:val="false"/>
          <w:color w:val="000000"/>
          <w:sz w:val="28"/>
        </w:rPr>
        <w:t xml:space="preserve">
      "4-1. Основное генерирующее оборудование, вводимое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Республики Казахстан "Об электроэнергетике", подлежит аттестации электрической мощности со дня ввода в эксплуатацию данного оборудования.</w:t>
      </w:r>
    </w:p>
    <w:bookmarkEnd w:id="20"/>
    <w:bookmarkStart w:name="z34" w:id="21"/>
    <w:p>
      <w:pPr>
        <w:spacing w:after="0"/>
        <w:ind w:left="0"/>
        <w:jc w:val="both"/>
      </w:pPr>
      <w:r>
        <w:rPr>
          <w:rFonts w:ascii="Times New Roman"/>
          <w:b w:val="false"/>
          <w:i w:val="false"/>
          <w:color w:val="000000"/>
          <w:sz w:val="28"/>
        </w:rPr>
        <w:t xml:space="preserve">
      При поочередном, поэтапном вводе генерирующих установок и (или) вводе пусковыми комплексами аттестация данных объектов проводится поэтапно в соответствии со сроками предусмотренными в договоре о покупке услуги по поддержанию готовности электрической мощности.". </w:t>
      </w:r>
    </w:p>
    <w:bookmarkEnd w:id="21"/>
    <w:bookmarkStart w:name="z35" w:id="22"/>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энергетики Республики Казахстан от 30 апреля 2021 года № 161 "Об утверждении Правил организации и проведения аукционных торгов на строительство вновь вводимых в эксплуатацию генерирующих установок с маневренным режимом генерации" (зарегистрирован в Реестре государственной регистрации нормативных правовых актов под № 22727) следующие изменения:</w:t>
      </w:r>
    </w:p>
    <w:bookmarkEnd w:id="22"/>
    <w:bookmarkStart w:name="z36"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проведения аукционных торгов на строительство вновь вводимых в эксплуатацию генерирующих установок с маневренным режимом генерации, утвержденных указанным приказом:</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93</w:t>
      </w:r>
      <w:r>
        <w:rPr>
          <w:rFonts w:ascii="Times New Roman"/>
          <w:b w:val="false"/>
          <w:i w:val="false"/>
          <w:color w:val="000000"/>
          <w:sz w:val="28"/>
        </w:rPr>
        <w:t xml:space="preserve"> и </w:t>
      </w:r>
      <w:r>
        <w:rPr>
          <w:rFonts w:ascii="Times New Roman"/>
          <w:b w:val="false"/>
          <w:i w:val="false"/>
          <w:color w:val="000000"/>
          <w:sz w:val="28"/>
        </w:rPr>
        <w:t>93-1</w:t>
      </w:r>
      <w:r>
        <w:rPr>
          <w:rFonts w:ascii="Times New Roman"/>
          <w:b w:val="false"/>
          <w:i w:val="false"/>
          <w:color w:val="000000"/>
          <w:sz w:val="28"/>
        </w:rPr>
        <w:t xml:space="preserve"> изложить в новой редакции:</w:t>
      </w:r>
    </w:p>
    <w:bookmarkStart w:name="z38" w:id="24"/>
    <w:p>
      <w:pPr>
        <w:spacing w:after="0"/>
        <w:ind w:left="0"/>
        <w:jc w:val="both"/>
      </w:pPr>
      <w:r>
        <w:rPr>
          <w:rFonts w:ascii="Times New Roman"/>
          <w:b w:val="false"/>
          <w:i w:val="false"/>
          <w:color w:val="000000"/>
          <w:sz w:val="28"/>
        </w:rPr>
        <w:t>
      "93. Победитель аукционных торгов в течение 30 (тридцати) календарных дней со дня получения проекта договора покупки электрической мощности подписывает указанный договор по индивидуальному тарифу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определенному по результату аукционных торгов, на срок равный 15 (пятнадцати) годам отсчет которого начинается с первого числа месяца следующего после истечения сроков предусмотренных подпунктом 2) пункта 104 настоящих Правил, за исключением случаев, предусмотренных настоящими Правилами.</w:t>
      </w:r>
    </w:p>
    <w:bookmarkEnd w:id="24"/>
    <w:bookmarkStart w:name="z39" w:id="25"/>
    <w:p>
      <w:pPr>
        <w:spacing w:after="0"/>
        <w:ind w:left="0"/>
        <w:jc w:val="both"/>
      </w:pPr>
      <w:r>
        <w:rPr>
          <w:rFonts w:ascii="Times New Roman"/>
          <w:b w:val="false"/>
          <w:i w:val="false"/>
          <w:color w:val="000000"/>
          <w:sz w:val="28"/>
        </w:rPr>
        <w:t>
      При прохождении первой аттестации генерирующих установок с маневренным режимом генерации до истечения сроков предусмотренных подпунктом 2) пункта 104 настоящих Правил, началом покупки услуги по поддержанию готовности электрической мощности является первое число месяца, следующего после истечения сроков, предусмотренных подпунктом 2) пункта 104 настоящих Правил или первое число месяца, следующего за месяцем, в котором победитель аукционных торгов прошел первую аттестацию, при условии выполнения следующих требований:</w:t>
      </w:r>
    </w:p>
    <w:bookmarkEnd w:id="25"/>
    <w:bookmarkStart w:name="z40" w:id="26"/>
    <w:p>
      <w:pPr>
        <w:spacing w:after="0"/>
        <w:ind w:left="0"/>
        <w:jc w:val="both"/>
      </w:pPr>
      <w:r>
        <w:rPr>
          <w:rFonts w:ascii="Times New Roman"/>
          <w:b w:val="false"/>
          <w:i w:val="false"/>
          <w:color w:val="000000"/>
          <w:sz w:val="28"/>
        </w:rPr>
        <w:t>
      1) направление победителем аукционных торгов уведомления о планируемом досрочном вводе в эксплуатацию генерирующей установки с маневренным режимом генерации в уполномоченный орган и единому закупщику в срок не позднее 15 октября года, предшествующего году, в котором истекает срок предоставления копии акта приемки в эксплуатацию вновь вводимых в эксплуатацию генерирующих установок с маневренным режимом генерации, установленный настоящими Правилами;</w:t>
      </w:r>
    </w:p>
    <w:bookmarkEnd w:id="26"/>
    <w:bookmarkStart w:name="z41" w:id="27"/>
    <w:p>
      <w:pPr>
        <w:spacing w:after="0"/>
        <w:ind w:left="0"/>
        <w:jc w:val="both"/>
      </w:pPr>
      <w:r>
        <w:rPr>
          <w:rFonts w:ascii="Times New Roman"/>
          <w:b w:val="false"/>
          <w:i w:val="false"/>
          <w:color w:val="000000"/>
          <w:sz w:val="28"/>
        </w:rPr>
        <w:t>
      2) подписание победителем аукционных торгов и единым закупщиком соответствующего дополнительного соглашения к договору покупки электрической мощности, который устанавливает дату начала покупки услуг с первого числа месяца, следующего за месяцем, в котором победитель аукционных торгов прошел первую аттестацию, в срок не позднее 1 ноября года, предшествующего году, в котором истекает срок предоставления копии акта приемки в эксплуатацию вновь вводимых в эксплуатацию генерирующих установок с маневренным режимом генерации, установленный настоящими Правилами.</w:t>
      </w:r>
    </w:p>
    <w:bookmarkEnd w:id="27"/>
    <w:bookmarkStart w:name="z42" w:id="28"/>
    <w:p>
      <w:pPr>
        <w:spacing w:after="0"/>
        <w:ind w:left="0"/>
        <w:jc w:val="both"/>
      </w:pPr>
      <w:r>
        <w:rPr>
          <w:rFonts w:ascii="Times New Roman"/>
          <w:b w:val="false"/>
          <w:i w:val="false"/>
          <w:color w:val="000000"/>
          <w:sz w:val="28"/>
        </w:rPr>
        <w:t>
      При прохождении первой аттестации генерирующих установок с маневренным режимом генерации до истечения срока, установленного договором покупки электрической мощности для предоставления копии акта приемки в эксплуатацию вновь вводимых в эксплуатацию генерирующих установок с маневренным режимом генерации, и при выполнении условий, предусмотренных подпунктами 1) и 2) части второй пункта 93 настоящих Правил, дата начала покупки услуги по поддержанию готовности электрической мощности переносится и срок покупки услуги по поддержанию готовности электрической мощности, равный 15 (пятнадцати) годам, начинается с первого числа месяца, следующего за месяцем, в котором победитель аукционных торгов прошел первую аттестацию.</w:t>
      </w:r>
    </w:p>
    <w:bookmarkEnd w:id="28"/>
    <w:bookmarkStart w:name="z43" w:id="29"/>
    <w:p>
      <w:pPr>
        <w:spacing w:after="0"/>
        <w:ind w:left="0"/>
        <w:jc w:val="both"/>
      </w:pPr>
      <w:r>
        <w:rPr>
          <w:rFonts w:ascii="Times New Roman"/>
          <w:b w:val="false"/>
          <w:i w:val="false"/>
          <w:color w:val="000000"/>
          <w:sz w:val="28"/>
        </w:rPr>
        <w:t>
      При прохождении первой аттестации генерирующих установок с маневренным режимом генерации после истечения сроков, предусмотренных договором покупки электрической мощности, началом покупки услуги по поддержанию готовности электрической мощности является первое число месяца, следующего за месяцем, в котором победитель аукционных торгов прошел первую аттестацию.</w:t>
      </w:r>
    </w:p>
    <w:bookmarkEnd w:id="29"/>
    <w:bookmarkStart w:name="z44" w:id="30"/>
    <w:p>
      <w:pPr>
        <w:spacing w:after="0"/>
        <w:ind w:left="0"/>
        <w:jc w:val="both"/>
      </w:pPr>
      <w:r>
        <w:rPr>
          <w:rFonts w:ascii="Times New Roman"/>
          <w:b w:val="false"/>
          <w:i w:val="false"/>
          <w:color w:val="000000"/>
          <w:sz w:val="28"/>
        </w:rPr>
        <w:t>
      При вводе генерирующих установок поочередно и (или) поэтапно и (или) пусковыми комплексами, оплата услуги по поддержанию готовности электрической мощности осуществляется по индивидуальному тарифу на услугу по поддержанию готовности электрической мощности в зависимости от объемов электрической мощности вводимых генерирующих установок энергопроизводящей организации.</w:t>
      </w:r>
    </w:p>
    <w:bookmarkEnd w:id="30"/>
    <w:bookmarkStart w:name="z45" w:id="31"/>
    <w:p>
      <w:pPr>
        <w:spacing w:after="0"/>
        <w:ind w:left="0"/>
        <w:jc w:val="both"/>
      </w:pPr>
      <w:r>
        <w:rPr>
          <w:rFonts w:ascii="Times New Roman"/>
          <w:b w:val="false"/>
          <w:i w:val="false"/>
          <w:color w:val="000000"/>
          <w:sz w:val="28"/>
        </w:rPr>
        <w:t>
      При этом индивидуальный тариф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срок покупки услуги по поддержанию готовности электрической мощности победителя аукционных торгов, предусмотренный частью первой настоящего пункта, не подлежат корректировке в сторону увеличения.</w:t>
      </w:r>
    </w:p>
    <w:bookmarkEnd w:id="31"/>
    <w:bookmarkStart w:name="z46" w:id="32"/>
    <w:p>
      <w:pPr>
        <w:spacing w:after="0"/>
        <w:ind w:left="0"/>
        <w:jc w:val="both"/>
      </w:pPr>
      <w:r>
        <w:rPr>
          <w:rFonts w:ascii="Times New Roman"/>
          <w:b w:val="false"/>
          <w:i w:val="false"/>
          <w:color w:val="000000"/>
          <w:sz w:val="28"/>
        </w:rPr>
        <w:t>
      93-1. При необходимости индивидуальный тариф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подлежит ежегодной индексации в период строительства на уровень инфляции, определяемый по данным уполномоченного органа в области государственной статистики, или ежегодной индексации на объем привлеченного заемного финансирования в иностранной валюте с учетом изменения обменного курса национальной валюты к иностранным валютам, определенного по данным Национального Банка Республики Казахстан по следующим формулам:</w:t>
      </w:r>
    </w:p>
    <w:bookmarkEnd w:id="32"/>
    <w:bookmarkStart w:name="z47" w:id="33"/>
    <w:p>
      <w:pPr>
        <w:spacing w:after="0"/>
        <w:ind w:left="0"/>
        <w:jc w:val="both"/>
      </w:pPr>
      <w:r>
        <w:rPr>
          <w:rFonts w:ascii="Times New Roman"/>
          <w:b w:val="false"/>
          <w:i w:val="false"/>
          <w:color w:val="000000"/>
          <w:sz w:val="28"/>
        </w:rPr>
        <w:t>
      1) на объем финансирования, направленного на строительство вновь вводимой в эксплуатацию генерирующих установок с маневренным режимом генерации, с учетом уровня инфляции, определяемого по данным уполномоченного органа в области государственной статистики, по следующей формуле:</w:t>
      </w:r>
    </w:p>
    <w:bookmarkEnd w:id="33"/>
    <w:bookmarkStart w:name="z48"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44196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196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35"/>
    <w:p>
      <w:pPr>
        <w:spacing w:after="0"/>
        <w:ind w:left="0"/>
        <w:jc w:val="both"/>
      </w:pPr>
      <w:r>
        <w:rPr>
          <w:rFonts w:ascii="Times New Roman"/>
          <w:b w:val="false"/>
          <w:i w:val="false"/>
          <w:color w:val="000000"/>
          <w:sz w:val="28"/>
        </w:rPr>
        <w:t>
      Tt+1 – проиндексированный индивидуальный тариф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тыс.теңге/(МВт*мес);</w:t>
      </w:r>
    </w:p>
    <w:bookmarkEnd w:id="35"/>
    <w:bookmarkStart w:name="z50" w:id="36"/>
    <w:p>
      <w:pPr>
        <w:spacing w:after="0"/>
        <w:ind w:left="0"/>
        <w:jc w:val="both"/>
      </w:pPr>
      <w:r>
        <w:rPr>
          <w:rFonts w:ascii="Times New Roman"/>
          <w:b w:val="false"/>
          <w:i w:val="false"/>
          <w:color w:val="000000"/>
          <w:sz w:val="28"/>
        </w:rPr>
        <w:t>
      Tt – индивидуальный тариф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определенный по итогам аукционных торгов, тыс.теңге/(МВт*мес);</w:t>
      </w:r>
    </w:p>
    <w:bookmarkEnd w:id="36"/>
    <w:bookmarkStart w:name="z51"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2857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857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38"/>
    <w:p>
      <w:pPr>
        <w:spacing w:after="0"/>
        <w:ind w:left="0"/>
        <w:jc w:val="both"/>
      </w:pPr>
      <w:r>
        <w:rPr>
          <w:rFonts w:ascii="Times New Roman"/>
          <w:b w:val="false"/>
          <w:i w:val="false"/>
          <w:color w:val="000000"/>
          <w:sz w:val="28"/>
        </w:rPr>
        <w:t>
      i – порядковый номер, изменяющийся от 1 до n, соответственно;</w:t>
      </w:r>
    </w:p>
    <w:bookmarkEnd w:id="38"/>
    <w:bookmarkStart w:name="z53" w:id="39"/>
    <w:p>
      <w:pPr>
        <w:spacing w:after="0"/>
        <w:ind w:left="0"/>
        <w:jc w:val="both"/>
      </w:pPr>
      <w:r>
        <w:rPr>
          <w:rFonts w:ascii="Times New Roman"/>
          <w:b w:val="false"/>
          <w:i w:val="false"/>
          <w:color w:val="000000"/>
          <w:sz w:val="28"/>
        </w:rPr>
        <w:t>
      n – количество лет, начиная с даты подписания договора о покупке услуги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с единым закупщиком до года текущей индексации включительно;</w:t>
      </w:r>
    </w:p>
    <w:bookmarkEnd w:id="39"/>
    <w:bookmarkStart w:name="z54"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58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4200" cy="3556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отражающий долю затрат, подлежащих индексации на каждый год строительства, от общей суммы затрат на строительство вновь вводимых в эксплуатацию генерирующих установок с маневренным режимом генерации, определяемый по следующей формуле:</w:t>
      </w:r>
      <w:r>
        <w:br/>
      </w:r>
      <w:r>
        <w:rPr>
          <w:rFonts w:ascii="Times New Roman"/>
          <w:b w:val="false"/>
          <w:i w:val="false"/>
          <w:color w:val="000000"/>
          <w:sz w:val="28"/>
        </w:rPr>
        <w:t>
</w:t>
      </w:r>
    </w:p>
    <w:bookmarkStart w:name="z55"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2527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273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1016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16000" cy="368300"/>
                    </a:xfrm>
                    <a:prstGeom prst="rect">
                      <a:avLst/>
                    </a:prstGeom>
                  </pic:spPr>
                </pic:pic>
              </a:graphicData>
            </a:graphic>
          </wp:inline>
        </w:drawing>
      </w:r>
    </w:p>
    <w:p>
      <w:pPr>
        <w:spacing w:after="0"/>
        <w:ind w:left="0"/>
        <w:jc w:val="left"/>
      </w:pPr>
      <w:r>
        <w:rPr>
          <w:rFonts w:ascii="Times New Roman"/>
          <w:b w:val="false"/>
          <w:i w:val="false"/>
          <w:color w:val="000000"/>
          <w:sz w:val="28"/>
        </w:rPr>
        <w:t>– общая сумма подтвержденных затрат на строительство вновь вводимых в эксплуатацию генерирующих установок с маневренным режимом генерации, за вычетом подтвержденных затрат на основные генерирующие оборудования и строительно-монтажные работы;</w:t>
      </w:r>
      <w:r>
        <w:br/>
      </w:r>
      <w:r>
        <w:rPr>
          <w:rFonts w:ascii="Times New Roman"/>
          <w:b w:val="false"/>
          <w:i w:val="false"/>
          <w:color w:val="000000"/>
          <w:sz w:val="28"/>
        </w:rPr>
        <w:t>
</w:t>
      </w:r>
    </w:p>
    <w:bookmarkStart w:name="z57"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2100" cy="304800"/>
                    </a:xfrm>
                    <a:prstGeom prst="rect">
                      <a:avLst/>
                    </a:prstGeom>
                  </pic:spPr>
                </pic:pic>
              </a:graphicData>
            </a:graphic>
          </wp:inline>
        </w:drawing>
      </w:r>
    </w:p>
    <w:p>
      <w:pPr>
        <w:spacing w:after="0"/>
        <w:ind w:left="0"/>
        <w:jc w:val="left"/>
      </w:pPr>
      <w:r>
        <w:rPr>
          <w:rFonts w:ascii="Times New Roman"/>
          <w:b w:val="false"/>
          <w:i w:val="false"/>
          <w:color w:val="000000"/>
          <w:sz w:val="28"/>
        </w:rPr>
        <w:t>– сумма подтвержденных затрат на строительство вновь вводимых в эксплуатацию генерирующих установок с маневренным режимом генерации, за вычетом подтвержденных затрат на основные генерирующие оборудования и строительно-монтажные работы на каждый год строительства;</w:t>
      </w:r>
      <w:r>
        <w:br/>
      </w:r>
      <w:r>
        <w:rPr>
          <w:rFonts w:ascii="Times New Roman"/>
          <w:b w:val="false"/>
          <w:i w:val="false"/>
          <w:color w:val="000000"/>
          <w:sz w:val="28"/>
        </w:rPr>
        <w:t>
</w:t>
      </w:r>
    </w:p>
    <w:bookmarkStart w:name="z58" w:id="44"/>
    <w:p>
      <w:pPr>
        <w:spacing w:after="0"/>
        <w:ind w:left="0"/>
        <w:jc w:val="both"/>
      </w:pPr>
      <w:r>
        <w:rPr>
          <w:rFonts w:ascii="Times New Roman"/>
          <w:b w:val="false"/>
          <w:i w:val="false"/>
          <w:color w:val="000000"/>
          <w:sz w:val="28"/>
        </w:rPr>
        <w:t>
      ∑Fстроит. – общая сумма затрат на строительство вновь вводимых в эксплуатацию генерирующих установок с маневренным режимом генерации;</w:t>
      </w:r>
    </w:p>
    <w:bookmarkEnd w:id="44"/>
    <w:bookmarkStart w:name="z59"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406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06400" cy="2667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отражающий долю затрат, неподлежащих индексации на каждый год строительства, от общей суммы затрат на строительство вновь вводимых в эксплуатацию генерирующих установок с маневренным режимом генерации, определяемый по следующей формуле:</w:t>
      </w:r>
      <w:r>
        <w:br/>
      </w:r>
      <w:r>
        <w:rPr>
          <w:rFonts w:ascii="Times New Roman"/>
          <w:b w:val="false"/>
          <w:i w:val="false"/>
          <w:color w:val="000000"/>
          <w:sz w:val="28"/>
        </w:rPr>
        <w:t>
</w:t>
      </w:r>
    </w:p>
    <w:bookmarkStart w:name="z60"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157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74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47"/>
    <w:p>
      <w:pPr>
        <w:spacing w:after="0"/>
        <w:ind w:left="0"/>
        <w:jc w:val="both"/>
      </w:pPr>
      <w:r>
        <w:rPr>
          <w:rFonts w:ascii="Times New Roman"/>
          <w:b w:val="false"/>
          <w:i w:val="false"/>
          <w:color w:val="000000"/>
          <w:sz w:val="28"/>
        </w:rPr>
        <w:t xml:space="preserve">
      При этом сумма коэффициентов </w:t>
      </w:r>
    </w:p>
    <w:bookmarkEnd w:id="47"/>
    <w:p>
      <w:pPr>
        <w:spacing w:after="0"/>
        <w:ind w:left="0"/>
        <w:jc w:val="both"/>
      </w:pPr>
      <w:r>
        <w:drawing>
          <wp:inline distT="0" distB="0" distL="0" distR="0">
            <wp:extent cx="292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2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w:t>
      </w:r>
    </w:p>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равняется единице.</w:t>
      </w:r>
      <w:r>
        <w:br/>
      </w:r>
      <w:r>
        <w:rPr>
          <w:rFonts w:ascii="Times New Roman"/>
          <w:b w:val="false"/>
          <w:i w:val="false"/>
          <w:color w:val="000000"/>
          <w:sz w:val="28"/>
        </w:rPr>
        <w:t>
</w:t>
      </w:r>
    </w:p>
    <w:bookmarkStart w:name="z62" w:id="48"/>
    <w:p>
      <w:pPr>
        <w:spacing w:after="0"/>
        <w:ind w:left="0"/>
        <w:jc w:val="both"/>
      </w:pPr>
      <w:r>
        <w:rPr>
          <w:rFonts w:ascii="Times New Roman"/>
          <w:b w:val="false"/>
          <w:i w:val="false"/>
          <w:color w:val="000000"/>
          <w:sz w:val="28"/>
        </w:rPr>
        <w:t>
      IL – индекс потребительских цен, накопленный за двенадцать месяцев, предшествующих 1 октября года проведения индексации, определяемый по данным уполномоченного органа в области государственной статистики;</w:t>
      </w:r>
    </w:p>
    <w:bookmarkEnd w:id="48"/>
    <w:bookmarkStart w:name="z63" w:id="49"/>
    <w:p>
      <w:pPr>
        <w:spacing w:after="0"/>
        <w:ind w:left="0"/>
        <w:jc w:val="both"/>
      </w:pPr>
      <w:r>
        <w:rPr>
          <w:rFonts w:ascii="Times New Roman"/>
          <w:b w:val="false"/>
          <w:i w:val="false"/>
          <w:color w:val="000000"/>
          <w:sz w:val="28"/>
        </w:rPr>
        <w:t>
      2) на объем привлеченного заемного финансирования в иностранной валюте с учетом изменения обменного курса национальной валюты к иностранным валютам, определенного по данным Национального Банка Республики Казахстан:</w:t>
      </w:r>
    </w:p>
    <w:bookmarkEnd w:id="49"/>
    <w:bookmarkStart w:name="z64"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4622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6228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1"/>
    <w:p>
      <w:pPr>
        <w:spacing w:after="0"/>
        <w:ind w:left="0"/>
        <w:jc w:val="both"/>
      </w:pPr>
      <w:r>
        <w:rPr>
          <w:rFonts w:ascii="Times New Roman"/>
          <w:b w:val="false"/>
          <w:i w:val="false"/>
          <w:color w:val="000000"/>
          <w:sz w:val="28"/>
        </w:rPr>
        <w:t>
      Tt+1 – проиндексированный индивидуальный тариф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тыс.теңге/(МВт*мес);</w:t>
      </w:r>
    </w:p>
    <w:bookmarkEnd w:id="51"/>
    <w:bookmarkStart w:name="z66" w:id="52"/>
    <w:p>
      <w:pPr>
        <w:spacing w:after="0"/>
        <w:ind w:left="0"/>
        <w:jc w:val="both"/>
      </w:pPr>
      <w:r>
        <w:rPr>
          <w:rFonts w:ascii="Times New Roman"/>
          <w:b w:val="false"/>
          <w:i w:val="false"/>
          <w:color w:val="000000"/>
          <w:sz w:val="28"/>
        </w:rPr>
        <w:t>
      Tt – индивидуальный тариф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определенный по итогам аукционных торгов;</w:t>
      </w:r>
    </w:p>
    <w:bookmarkEnd w:id="52"/>
    <w:bookmarkStart w:name="z67" w:id="53"/>
    <w:p>
      <w:pPr>
        <w:spacing w:after="0"/>
        <w:ind w:left="0"/>
        <w:jc w:val="both"/>
      </w:pPr>
      <w:r>
        <w:rPr>
          <w:rFonts w:ascii="Times New Roman"/>
          <w:b w:val="false"/>
          <w:i w:val="false"/>
          <w:color w:val="000000"/>
          <w:sz w:val="28"/>
        </w:rPr>
        <w:t>
      У.Е.t+1 – текущий курс теңге к иностранной валюте на 1 октября года проведения индексации, определяемый по данным Национального Банка Республики Казахстан;</w:t>
      </w:r>
    </w:p>
    <w:bookmarkEnd w:id="53"/>
    <w:bookmarkStart w:name="z68" w:id="54"/>
    <w:p>
      <w:pPr>
        <w:spacing w:after="0"/>
        <w:ind w:left="0"/>
        <w:jc w:val="both"/>
      </w:pPr>
      <w:r>
        <w:rPr>
          <w:rFonts w:ascii="Times New Roman"/>
          <w:b w:val="false"/>
          <w:i w:val="false"/>
          <w:color w:val="000000"/>
          <w:sz w:val="28"/>
        </w:rPr>
        <w:t>
      У.Е.ti – средний курс теңге к иностранной валюте, определяемый по данным Национального Банка Республики Казахстан, рассчитанный за период двенадцать месяцев, предшествующих 1 октября каждого года проведения индексации, начиная с даты подписания договора о покупке услуги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с единым закупщиком;</w:t>
      </w:r>
    </w:p>
    <w:bookmarkEnd w:id="54"/>
    <w:bookmarkStart w:name="z69"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2209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098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56"/>
    <w:p>
      <w:pPr>
        <w:spacing w:after="0"/>
        <w:ind w:left="0"/>
        <w:jc w:val="both"/>
      </w:pPr>
      <w:r>
        <w:rPr>
          <w:rFonts w:ascii="Times New Roman"/>
          <w:b w:val="false"/>
          <w:i w:val="false"/>
          <w:color w:val="000000"/>
          <w:sz w:val="28"/>
        </w:rPr>
        <w:t>
      i – порядковый номер, изменяющийся от 1 до n, соответственно;</w:t>
      </w:r>
    </w:p>
    <w:bookmarkEnd w:id="56"/>
    <w:bookmarkStart w:name="z71" w:id="57"/>
    <w:p>
      <w:pPr>
        <w:spacing w:after="0"/>
        <w:ind w:left="0"/>
        <w:jc w:val="both"/>
      </w:pPr>
      <w:r>
        <w:rPr>
          <w:rFonts w:ascii="Times New Roman"/>
          <w:b w:val="false"/>
          <w:i w:val="false"/>
          <w:color w:val="000000"/>
          <w:sz w:val="28"/>
        </w:rPr>
        <w:t>
      n – количество лет, начиная с даты подписания договора о покупке услуги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с единым закупщиком до года текущей индексации включительно.</w:t>
      </w:r>
    </w:p>
    <w:bookmarkEnd w:id="57"/>
    <w:bookmarkStart w:name="z72" w:id="58"/>
    <w:p>
      <w:pPr>
        <w:spacing w:after="0"/>
        <w:ind w:left="0"/>
        <w:jc w:val="both"/>
      </w:pPr>
      <w:r>
        <w:rPr>
          <w:rFonts w:ascii="Times New Roman"/>
          <w:b w:val="false"/>
          <w:i w:val="false"/>
          <w:color w:val="000000"/>
          <w:sz w:val="28"/>
        </w:rPr>
        <w:t>
      Индексация индивидуального тарифа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применяется для газовых электростанций 52 (пятьдесят два) месяцев с даты подписания договора покупки электрической мощности, для гидроэлектростанций – в течение 60 (шестидесяти) месяцев с даты подписания договора покупки электрической мощности в период строительства.</w:t>
      </w:r>
    </w:p>
    <w:bookmarkEnd w:id="58"/>
    <w:bookmarkStart w:name="z73" w:id="59"/>
    <w:p>
      <w:pPr>
        <w:spacing w:after="0"/>
        <w:ind w:left="0"/>
        <w:jc w:val="both"/>
      </w:pPr>
      <w:r>
        <w:rPr>
          <w:rFonts w:ascii="Times New Roman"/>
          <w:b w:val="false"/>
          <w:i w:val="false"/>
          <w:color w:val="000000"/>
          <w:sz w:val="28"/>
        </w:rPr>
        <w:t>
      При этом, в случае превышения сроков, предусмотренных договором покупки электрической мощности, заключенным между единым закупщиком и победителем аукционных торгов, то данной период превышения сроков ввода от сроков, предусмотренных договорам покупки электрической мощности, не подлежит ежегодной индексации.";</w:t>
      </w:r>
    </w:p>
    <w:bookmarkEnd w:id="59"/>
    <w:bookmarkStart w:name="z74" w:id="60"/>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104</w:t>
      </w:r>
      <w:r>
        <w:rPr>
          <w:rFonts w:ascii="Times New Roman"/>
          <w:b w:val="false"/>
          <w:i w:val="false"/>
          <w:color w:val="000000"/>
          <w:sz w:val="28"/>
        </w:rPr>
        <w:t xml:space="preserve"> изложить в новой редакции:</w:t>
      </w:r>
    </w:p>
    <w:bookmarkEnd w:id="60"/>
    <w:bookmarkStart w:name="z75" w:id="61"/>
    <w:p>
      <w:pPr>
        <w:spacing w:after="0"/>
        <w:ind w:left="0"/>
        <w:jc w:val="both"/>
      </w:pPr>
      <w:r>
        <w:rPr>
          <w:rFonts w:ascii="Times New Roman"/>
          <w:b w:val="false"/>
          <w:i w:val="false"/>
          <w:color w:val="000000"/>
          <w:sz w:val="28"/>
        </w:rPr>
        <w:t>
      "2) копию акта приемки в эксплуатацию вновь вводимых в эксплуатацию генерирующих установок с маневренным режимом генерации (обеспечивающих исполнение договора покупки электрической мощности), утвержденного в порядке, определенном Строительным кодексом Республики Казахстан, при этом, для газовых электростанций данная копия предоставляется в течение 52 (пятидесяти двух) месяцев с даты подписания договора покупки электрической мощности, для гидроэлектростанций – в течение 60 (шестидесяти) месяцев с даты подписания договора покупки электрической мощности;".</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