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c80d" w14:textId="0d0c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июля 2026 года № 83. Зарегистрирован в Министерстве юстиции Республики Казахстан 29 июля 2026 года № 39440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Площадь при выборе земельного участка под строительство объектов, определяется требованиями государственных нормативных документов в сфере архитектурной, градостроительной и строительной деятельности, утвержденных уполномоченным органом по делам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государственные нормативные документы в сфере архитектурной, градостроительной и строительной деятельности).";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нормативных документов в сфере архитектурной, градостроительной и строительной деятельности.";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заданию на проектирование в ДО допускается совмещение групповой (игровой) со спальными помещениями с учетом наличия дополнительной площади для размещения раздвижных кроватей в соответствии с требованиями государственных нормативных документов в сфере архитектурной, градостроительной и строительной деятельности.";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Естественное и искусственное освещение помещений определяется в соответствии с государственными нормативными документами в сфере архитектурной, градостроительной и строительной деятельности. В одном помещении применяют лампы одного типа.";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"100. Устройство, содержание пищеблока и оборудования, требования к сырью и готовой продукции, условиям питания предусматривают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под № 21857) и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следующие изменения: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Санитарных правилах использованы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бракераж – оценка качества продуктов питания и готовых блюд по органолептическим показателям;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образования для детей-сирот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максимальная учебная нагрузка – общее количество часов инвариантной и вариативной части Типового учебного плана;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специализированная организация образования – учебное заведение, спортивные объекты,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предшкольные классы –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внешкольная организация дополнительного образования (далее – внешкольные объекты)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учебно-методический комплекс (далее – 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учебный час – продолжительность урока (занятий) или лекции от начала до перемены (перерыва);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септик – сооружение для очистки небольших количеств бытовых сточных вод;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наполняемость классов (групп) – нормируемое количество обучающихся;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рациональное питание – сбалансированное питание, с учетом физиологических и возрастных норм питания;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маломобильные группы населения – лица пожилого возраста, лица с инвалидностью,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Выбор земельного участка, проектирование, реконструкция объектов определяется требованиями государственных нормативных документов в сфере архитектурной, градостроительной и строительной деятельности, утвержденных уполномоченным органом по делам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государственные нормативные документы в сфере архитектурной, градостроительной и строительной деятельности);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нормативных документов в сфере архитектурной, градостроительной и строительной деятельности. Ограждение должно быть без повреждений.";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При проектировании международных школ (классы, учебные кабинеты) норма площади помещений устанавливается заданием на проектирование или в соответствии с международными, региональными стандартами или стандартами иностранных государств, в порядке и условиях, установленных нормами </w:t>
      </w:r>
      <w:r>
        <w:rPr>
          <w:rFonts w:ascii="Times New Roman"/>
          <w:b w:val="false"/>
          <w:i w:val="false"/>
          <w:color w:val="000000"/>
          <w:sz w:val="28"/>
        </w:rPr>
        <w:t>Строительного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Размещение объектов в жилых зданиях, во встроенно-пристроенных помещениях определяется государственными нормативными документами в сфере архитектурной, градостроительной и строительной деятельности.";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Помещения в подвальном и цокольном этажах объекта размещаются в соответствии с требованиями государственных нормативных документов в сфере архитектурной, градостроительной и строительной деятельности.";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Естественное и искусственное освещение помещений следует проектировать в соответствии с государственными нормативными документами в сфере архитектурной, градостроительной и строительной деятельности.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"Установка и потребность в санитарных приборах для маломобильных групп населения нормируется в соответствии с требованиями государственных нормативных документов в сфере архитектурной, градостроительной и строительной деятельности.";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Устройство, содержание пищеблока и оборудования, требования к сырью и готовой продукции, условиям питания предусматривают в соответствии с приказами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21857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26866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76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