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c6e9" w14:textId="810c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индустрии и инфраструктурного развития Республики Казахстан от 29 апреля 2020 года № 253 и Министра национальной экономики Республики Казахстан от 30 апреля 2020 года № 33 "Об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 газа и газоснабжения"</w:t>
      </w:r>
    </w:p>
    <w:p>
      <w:pPr>
        <w:spacing w:after="0"/>
        <w:ind w:left="0"/>
        <w:jc w:val="both"/>
      </w:pPr>
      <w:r>
        <w:rPr>
          <w:rFonts w:ascii="Times New Roman"/>
          <w:b w:val="false"/>
          <w:i w:val="false"/>
          <w:color w:val="000000"/>
          <w:sz w:val="28"/>
        </w:rPr>
        <w:t>Совместный приказ Министра промышленности и строительства Республики Казахстан от 16 июля 2026 года № 364 и Заместителя Премьер-Министра – Министра национальной экономики Республики Казахстан от 22 июля 2026 года № 112. Зарегистрирован в Министерстве юстиции Республики Казахстан 23 июля 2026 года № 39379</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253 и Министра национальной экономики Республики Казахстан от 30 апреля 2020 года № 33 "Об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 газа и газоснабжения" (зарегистрирован в Реестре государственной регистрации нормативных правовых актов за № 20557)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риска в пределах границ населенных пунктов на объектах социальной инфраструктуры в сфере управления жилищным фондом,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"3) незначительное нарушения – отсутствие согласованной с жилищной инспекцией сметы расходов на проведение отдельных видов капитального ремонта общего имущества объекта кондоминиума;";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изложить в следующей редакции:</w:t>
      </w:r>
    </w:p>
    <w:bookmarkStart w:name="z10" w:id="4"/>
    <w:p>
      <w:pPr>
        <w:spacing w:after="0"/>
        <w:ind w:left="0"/>
        <w:jc w:val="both"/>
      </w:pPr>
      <w:r>
        <w:rPr>
          <w:rFonts w:ascii="Times New Roman"/>
          <w:b w:val="false"/>
          <w:i w:val="false"/>
          <w:color w:val="000000"/>
          <w:sz w:val="28"/>
        </w:rPr>
        <w:t>
      "5) значительные нарушения – нарушения, установленные нормативными правовыми актами, а также несоблюдение государственных нормативов, несвоевременное и неправильное оформление документации, отсутствие регистрации объектов кондоминиума в Некоммерческом акционерном обществе "Государственная корпорация "Правительство для граждан", годовой сметы расходов на содержание общего имущества объекта кондоминиума, утвержденной протоколом собрания собственников квартир, нежилых помещении, годовой сметы расходов и размеров оплаты за содержание парковочных мест, кладовок, утвержденной протоколом собрания собственников парковочных мест, кладовок, не выполнение работ по дезинфекции, дезинсекции и дератизации подвальных помещений и других мест общего пользования объекта кондоминиума, несоответствии протоколов собрания собственников квартир, нежилых помещений Типовым формам протоколов собрания, отсутствие в своем составе работников, имеющих документ о признании профессиональной квалификации на осуществление функций по управлению объектом кондоминиума;";</w:t>
      </w:r>
    </w:p>
    <w:bookmarkEnd w:id="4"/>
    <w:bookmarkStart w:name="z11" w:id="5"/>
    <w:p>
      <w:pPr>
        <w:spacing w:after="0"/>
        <w:ind w:left="0"/>
        <w:jc w:val="both"/>
      </w:pPr>
      <w:r>
        <w:rPr>
          <w:rFonts w:ascii="Times New Roman"/>
          <w:b w:val="false"/>
          <w:i w:val="false"/>
          <w:color w:val="000000"/>
          <w:sz w:val="28"/>
        </w:rPr>
        <w:t>
       "6) грубые нарушения – несоблюдение требований, установленных нормативными правовыми актами в сфере управления жилищным фондом, вследствие которых не обеспечиваются безопасные и комфортные условия для проживания человека, с нанесением ущерба государственным интересам, которые влекут за собой административную и уголовную ответственность, предусмотренную законами Республики Казахстан, отсутствием сберегательного и текущего счета на каждый объект кондоминиума в банке второго уровня, неисправности в частях общего имущества объекта кондоминиума и в системах центрального отопления, водоснабжения, водоотведения, электроснабжения общего имущества кондоминиума, отсутствие подтверждающих документов о проведении плановых осмотров технического состояния конструкций и инженерного оборудования объекта кондоминиума, предоставлением недостоверной отчетности, не соблюдение сроков полномочий председателя объединение собственников имущества, совета дома и ревизионной комиссии, определенных нормативными правовыми актами, осуществление юридическими лицами не являющимися объединениями собственников имущества или субъектами управления объектами кондоминиума, функций по управлению объектами кондоминиума, осуществление деятельности по управлению объектом кондоминиума без направления информации в жилищную инспекцию о начале деятельности по управлению объектом кондоминиума, несвоевременная и (или) неполная передача документации по акту приема-передачи и иных технических средств и оборудования заказчиком (застройщиком), председателем объединения собственников имущества или субъектами управления объектом кондоминиума при смене форм управления объектом кондоминиума или субъекта управления объектом кондоминиума или прекращении своей деятельности по управлению объектом кондоминиума;";</w:t>
      </w:r>
    </w:p>
    <w:bookmarkEnd w:id="5"/>
    <w:bookmarkStart w:name="z12" w:id="6"/>
    <w:p>
      <w:pPr>
        <w:spacing w:after="0"/>
        <w:ind w:left="0"/>
        <w:jc w:val="both"/>
      </w:pPr>
      <w:r>
        <w:rPr>
          <w:rFonts w:ascii="Times New Roman"/>
          <w:b w:val="false"/>
          <w:i w:val="false"/>
          <w:color w:val="000000"/>
          <w:sz w:val="28"/>
        </w:rPr>
        <w:t xml:space="preserve">
      дополнить приложениями 1 и 2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совместному приказу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5 изложить в новой редакции:</w:t>
      </w:r>
    </w:p>
    <w:bookmarkStart w:name="z15" w:id="7"/>
    <w:p>
      <w:pPr>
        <w:spacing w:after="0"/>
        <w:ind w:left="0"/>
        <w:jc w:val="both"/>
      </w:pPr>
      <w:r>
        <w:rPr>
          <w:rFonts w:ascii="Times New Roman"/>
          <w:b w:val="false"/>
          <w:i w:val="false"/>
          <w:color w:val="000000"/>
          <w:sz w:val="28"/>
        </w:rPr>
        <w:t>
      "Глава 5. Особенности формирования системы оценки и управления рисками для государственных органов, использующих цифровые системы с учетом специфики и конфиденциальности, в соответствии с законодательством Республики Казахстан".</w:t>
      </w:r>
    </w:p>
    <w:bookmarkEnd w:id="7"/>
    <w:bookmarkStart w:name="z16" w:id="8"/>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8"/>
    <w:bookmarkStart w:name="z17" w:id="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9"/>
    <w:bookmarkStart w:name="z18" w:id="10"/>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промышленности и строительства Республики Казахстан после его официального опубликования;</w:t>
      </w:r>
    </w:p>
    <w:bookmarkEnd w:id="10"/>
    <w:bookmarkStart w:name="z19" w:id="11"/>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bookmarkEnd w:id="11"/>
    <w:bookmarkStart w:name="z20" w:id="12"/>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промышленности и строительства Республики Казахстан.</w:t>
      </w:r>
    </w:p>
    <w:bookmarkEnd w:id="12"/>
    <w:bookmarkStart w:name="z21" w:id="13"/>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4"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 xml:space="preserve">Генеральной прокуратуры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112</w:t>
            </w:r>
            <w:r>
              <w:br/>
            </w:r>
            <w:r>
              <w:rPr>
                <w:rFonts w:ascii="Times New Roman"/>
                <w:b w:val="false"/>
                <w:i w:val="false"/>
                <w:color w:val="000000"/>
                <w:sz w:val="20"/>
              </w:rPr>
              <w:t>и Министр промышленности</w:t>
            </w:r>
            <w:r>
              <w:br/>
            </w:r>
            <w:r>
              <w:rPr>
                <w:rFonts w:ascii="Times New Roman"/>
                <w:b w:val="false"/>
                <w:i w:val="false"/>
                <w:color w:val="000000"/>
                <w:sz w:val="20"/>
              </w:rPr>
              <w:t>и строительства Республики</w:t>
            </w:r>
            <w:r>
              <w:br/>
            </w:r>
            <w:r>
              <w:rPr>
                <w:rFonts w:ascii="Times New Roman"/>
                <w:b w:val="false"/>
                <w:i w:val="false"/>
                <w:color w:val="000000"/>
                <w:sz w:val="20"/>
              </w:rPr>
              <w:t>Казахстан от 16 июля 2026 года № 364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пределах границ</w:t>
            </w:r>
            <w:r>
              <w:br/>
            </w:r>
            <w:r>
              <w:rPr>
                <w:rFonts w:ascii="Times New Roman"/>
                <w:b w:val="false"/>
                <w:i w:val="false"/>
                <w:color w:val="000000"/>
                <w:sz w:val="20"/>
              </w:rPr>
              <w:t>населенных пунктов на объектах</w:t>
            </w:r>
            <w:r>
              <w:br/>
            </w:r>
            <w:r>
              <w:rPr>
                <w:rFonts w:ascii="Times New Roman"/>
                <w:b w:val="false"/>
                <w:i w:val="false"/>
                <w:color w:val="000000"/>
                <w:sz w:val="20"/>
              </w:rPr>
              <w:t>социальной инфраструктуры</w:t>
            </w:r>
            <w:r>
              <w:br/>
            </w:r>
            <w:r>
              <w:rPr>
                <w:rFonts w:ascii="Times New Roman"/>
                <w:b w:val="false"/>
                <w:i w:val="false"/>
                <w:color w:val="000000"/>
                <w:sz w:val="20"/>
              </w:rPr>
              <w:t>в сфере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жилищным фондом</w:t>
            </w:r>
          </w:p>
        </w:tc>
      </w:tr>
    </w:tbl>
    <w:bookmarkStart w:name="z28" w:id="15"/>
    <w:p>
      <w:pPr>
        <w:spacing w:after="0"/>
        <w:ind w:left="0"/>
        <w:jc w:val="left"/>
      </w:pPr>
      <w:r>
        <w:rPr>
          <w:rFonts w:ascii="Times New Roman"/>
          <w:b/>
          <w:i w:val="false"/>
          <w:color w:val="000000"/>
        </w:rPr>
        <w:t xml:space="preserve">  Степени нарушений требований в сфере управления жилищным фондом в пределах границ населенных пунктов на объектах социальной инфраструктуры для проведения профилактического контроля с посещением субъекта (объекта) контроля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договоров между объединением собственников имущества с субъектами управления объектом кондоминиума одобренные протокольным решением собрания собственников квартир, нежилых помещений многоквартирного жилого дома или протокольным решением совет дома, при наличии одобренного протокольного решения собрания по делегированию функций о выборе субъекта управления объектом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объектов кондоминиума в Некоммерческом акционерном обществе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годовых смет расходов на управление объектом кондоминиума утвержденных протоколами собраний собственников квартир, нежилых помещений, парковочных мест, кладовок, многоквартирного жилого дома на один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сберегательного счета на объект кондоминиума в банке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текущего счета на объект кондоминиума в банке второго уровня.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обследования по подготовке инженерных сетей и оборудования к отопительному сезону.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подтверждающих документов о предоставлении ежемесячного и годового отчета по управлению объектом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подтверждающих документов о выполнении работ по дезинфекции, дезинсекции и дератизации подвальных помещений, паркингов и других мест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Неисправности в частях общего имущества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сроков полномочий председателя ОСИ, совета дома и ревизионной комиссии, определенных нормативными правовыми актами и уставом проверяемого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протоколов собраний собственников квартир, нежилых помещений, парковочных мест, кладовок многоквартирного жилого дома Типовым протоколам собраний собственников квартир, нежилых помещений, парковочных мест, кладовок многоквартирного жилого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безбарьерной среды для лиц с инвалидностью и других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своем составе работников, имеющих документ о признании профессиональной квалификации на осуществление функций по управлению объектом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юридическими лицами не являющимися объединениями собственников имущества или субъектами управления объектами кондоминиума, функций по управлению объектами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по управлению объектом кондоминиума без направления информации в жилищную инспекцию о начале деятельности по управлению объектом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и (или) неполная передача документации по акту приема-передачи и иных технических средств и оборудования заказчиком (застройщиком), председателем объединения собственников имущества или субъектами управления объектом кондоминиума при смене форм управления объектом кондоминиума или субъекта управления объектом кондоминиума или прекращении своей деятельности по управлению объектом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112</w:t>
            </w:r>
            <w:r>
              <w:br/>
            </w:r>
            <w:r>
              <w:rPr>
                <w:rFonts w:ascii="Times New Roman"/>
                <w:b w:val="false"/>
                <w:i w:val="false"/>
                <w:color w:val="000000"/>
                <w:sz w:val="20"/>
              </w:rPr>
              <w:t>и Министр промышленности</w:t>
            </w:r>
            <w:r>
              <w:br/>
            </w:r>
            <w:r>
              <w:rPr>
                <w:rFonts w:ascii="Times New Roman"/>
                <w:b w:val="false"/>
                <w:i w:val="false"/>
                <w:color w:val="000000"/>
                <w:sz w:val="20"/>
              </w:rPr>
              <w:t>и строительства Республики Казахстан</w:t>
            </w:r>
            <w:r>
              <w:br/>
            </w:r>
            <w:r>
              <w:rPr>
                <w:rFonts w:ascii="Times New Roman"/>
                <w:b w:val="false"/>
                <w:i w:val="false"/>
                <w:color w:val="000000"/>
                <w:sz w:val="20"/>
              </w:rPr>
              <w:t>от 16 июля 2026 года № 364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пределах границ</w:t>
            </w:r>
            <w:r>
              <w:br/>
            </w:r>
            <w:r>
              <w:rPr>
                <w:rFonts w:ascii="Times New Roman"/>
                <w:b w:val="false"/>
                <w:i w:val="false"/>
                <w:color w:val="000000"/>
                <w:sz w:val="20"/>
              </w:rPr>
              <w:t>населенных пунктов на объектах</w:t>
            </w:r>
            <w:r>
              <w:br/>
            </w:r>
            <w:r>
              <w:rPr>
                <w:rFonts w:ascii="Times New Roman"/>
                <w:b w:val="false"/>
                <w:i w:val="false"/>
                <w:color w:val="000000"/>
                <w:sz w:val="20"/>
              </w:rPr>
              <w:t>социальной инфраструктуры</w:t>
            </w:r>
            <w:r>
              <w:br/>
            </w:r>
            <w:r>
              <w:rPr>
                <w:rFonts w:ascii="Times New Roman"/>
                <w:b w:val="false"/>
                <w:i w:val="false"/>
                <w:color w:val="000000"/>
                <w:sz w:val="20"/>
              </w:rPr>
              <w:t>в сфере управления</w:t>
            </w:r>
            <w:r>
              <w:br/>
            </w:r>
            <w:r>
              <w:rPr>
                <w:rFonts w:ascii="Times New Roman"/>
                <w:b w:val="false"/>
                <w:i w:val="false"/>
                <w:color w:val="000000"/>
                <w:sz w:val="20"/>
              </w:rPr>
              <w:t>жилищным фондом</w:t>
            </w:r>
          </w:p>
        </w:tc>
      </w:tr>
    </w:tbl>
    <w:bookmarkStart w:name="z31" w:id="1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сфере управления жилищным фондом в пределах границ населенных пунктов на объектах социальной инфраструктуры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объектов кондоминиума в Некоммерческом акционерном обществе "Государственная корпорация "Правительство для граждан"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предоставлении ежемесячного и годового отчета по управлению объектом кондоминиума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безбарьерной среды (входная группа) для маломобильных групп населения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112 и</w:t>
            </w:r>
            <w:r>
              <w:br/>
            </w:r>
            <w:r>
              <w:rPr>
                <w:rFonts w:ascii="Times New Roman"/>
                <w:b w:val="false"/>
                <w:i w:val="false"/>
                <w:color w:val="000000"/>
                <w:sz w:val="20"/>
              </w:rPr>
              <w:t>Министр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2026 года № 364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253</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2020 года № 33</w:t>
            </w:r>
          </w:p>
        </w:tc>
      </w:tr>
    </w:tbl>
    <w:bookmarkStart w:name="z34" w:id="17"/>
    <w:p>
      <w:pPr>
        <w:spacing w:after="0"/>
        <w:ind w:left="0"/>
        <w:jc w:val="left"/>
      </w:pPr>
      <w:r>
        <w:rPr>
          <w:rFonts w:ascii="Times New Roman"/>
          <w:b/>
          <w:i w:val="false"/>
          <w:color w:val="000000"/>
        </w:rPr>
        <w:t xml:space="preserve"> Проверочный лист в сфере управления жилищным фондом в пределах границ населенных пунктов на объектах социальной инфраструктуры в соответствии со статьей 138 Предпринимательского кодекса Республики Казахстан в отношении председателя объединения собственников имущества и субъектов управления объектом кондоминиума</w:t>
      </w:r>
    </w:p>
    <w:bookmarkEnd w:id="17"/>
    <w:p>
      <w:pPr>
        <w:spacing w:after="0"/>
        <w:ind w:left="0"/>
        <w:jc w:val="both"/>
      </w:pPr>
      <w:bookmarkStart w:name="z35" w:id="18"/>
      <w:r>
        <w:rPr>
          <w:rFonts w:ascii="Times New Roman"/>
          <w:b w:val="false"/>
          <w:i w:val="false"/>
          <w:color w:val="000000"/>
          <w:sz w:val="28"/>
        </w:rPr>
        <w:t xml:space="preserve">
      Государственный орган, назначивший проверку/профилактического контроля с </w:t>
      </w:r>
    </w:p>
    <w:bookmarkEnd w:id="18"/>
    <w:p>
      <w:pPr>
        <w:spacing w:after="0"/>
        <w:ind w:left="0"/>
        <w:jc w:val="both"/>
      </w:pPr>
      <w:r>
        <w:rPr>
          <w:rFonts w:ascii="Times New Roman"/>
          <w:b w:val="false"/>
          <w:i w:val="false"/>
          <w:color w:val="000000"/>
          <w:sz w:val="28"/>
        </w:rPr>
        <w:t xml:space="preserve">посещением субъекта (объекта) контроля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 xml:space="preserve"> (объекта) контроля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___ №, дата Наименование субъекта (объекта) контроля</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номер субъекта </w:t>
      </w:r>
    </w:p>
    <w:p>
      <w:pPr>
        <w:spacing w:after="0"/>
        <w:ind w:left="0"/>
        <w:jc w:val="both"/>
      </w:pPr>
      <w:r>
        <w:rPr>
          <w:rFonts w:ascii="Times New Roman"/>
          <w:b w:val="false"/>
          <w:i w:val="false"/>
          <w:color w:val="000000"/>
          <w:sz w:val="28"/>
        </w:rPr>
        <w:t xml:space="preserve">(объекта) контроля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между объединением собственников имущества с субъектами управления объектом кондоминиума одобренные протокольным решением собрания собственников квартир, нежилых помещений многоквартирного жилого дома или протокольным решением совет дома, при наличии одобренного протокольного решения собрания по делегированию функций о выборе субъекта управления объектом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объектов кондоминиума в Некоммерческом акционерном обществе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годовых смет расходов на управление объектом кондоминиума утвержденных протоколами собраний собственников квартир, нежилых помещений, парковочных мест, кладовок, многоквартирного жилого дома на один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сберегательного счета на объект кондоминиума в банке второго уровня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текущего счета на объект кондоминиума в банке второго уровня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обследования по подготовке инженерных сетей и оборудования к отопительному сезону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предоставлении ежемесячного и годового отчета по управлению объектом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выполнении работ по дезинфекции, дезинсекции и дератизации подвальных помещений, паркингов и других мест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неисправности в частях общего имущества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полномочий председателя ОСИ, совета дома и ревизионной комиссии, определенных нормативными правовыми актами и уставом проверяемого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протоколов собраний собственников квартир, нежилых помещений, парковочных мест, кладовок многоквартирного жилого дома Типовым протоколам собраний собственников квартир, нежилых помещений, парковочных мест, кладовок многоквартирного жилого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безбарьерной среды для лиц с инвалидностью и других маломобильных групп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своем составе работников, имеющих документ о признании профессиональной квалификации на осуществление функций по управлению объектом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юридическими лицами не являющимися объединениями собственников имущества или субъектами управления объектами кондоминиума, функций по управлению объектами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по управлению объектом кондоминиума без направления информации в жилищную инспекцию о начале деятельности по управлению объектом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и полная передача документации по акту приема-передачи и иных технических средств и оборудования заказчиком (застройщиком), председателем объединения собственников имущества или субъектами управления объектом кондоминиума при смене форм управления объектом кондоминиума или субъекта управления объектом кондоминиума или прекращении своей деятельности по управлению объектом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 w:id="19"/>
      <w:r>
        <w:rPr>
          <w:rFonts w:ascii="Times New Roman"/>
          <w:b w:val="false"/>
          <w:i w:val="false"/>
          <w:color w:val="000000"/>
          <w:sz w:val="28"/>
        </w:rPr>
        <w:t xml:space="preserve">
      Должностное (ые) лицо (а) ______________________________ ____________ </w:t>
      </w:r>
    </w:p>
    <w:bookmarkEnd w:id="19"/>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_________________ ____________________ </w:t>
      </w:r>
    </w:p>
    <w:p>
      <w:pPr>
        <w:spacing w:after="0"/>
        <w:ind w:left="0"/>
        <w:jc w:val="both"/>
      </w:pPr>
      <w:r>
        <w:rPr>
          <w:rFonts w:ascii="Times New Roman"/>
          <w:b w:val="false"/>
          <w:i w:val="false"/>
          <w:color w:val="000000"/>
          <w:sz w:val="28"/>
        </w:rPr>
        <w:t xml:space="preserve">                                     должность             подпись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