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d4be" w14:textId="6aed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28 сентября 2018 года № 863 "Об утверждении Типовых правил использования средств, предусмотренных на представительские затраты, и норм представительских затрат"</w:t>
      </w:r>
    </w:p>
    <w:p>
      <w:pPr>
        <w:spacing w:after="0"/>
        <w:ind w:left="0"/>
        <w:jc w:val="both"/>
      </w:pPr>
      <w:r>
        <w:rPr>
          <w:rFonts w:ascii="Times New Roman"/>
          <w:b w:val="false"/>
          <w:i w:val="false"/>
          <w:color w:val="000000"/>
          <w:sz w:val="28"/>
        </w:rPr>
        <w:t>Приказ и.о. Министра финансов Республики Казахстан от 9 июля 2026 года № 465. Зарегистрирован в Министерстве юстиции Республики Казахстан 13 июля 2026 года № 39289</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сентября 2018 года № 863 "Об утверждении Типовых правил использования средств, предусмотренных на представительские затраты, и норм представительских затрат" (зарегистрирован в Реестре государственной регистрации нормативных правовых актов под № 17522)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использования средств, предусмотренных на представительские затраты, и норм представительских затрат,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Представительские затраты – средства, предусмотренные в местном бюджете на соответствующий финансовый год и используемые для приема иностранных делегаций, проведение заседаний, конференций, совещаний, семинаров, торжественных и официальных мероприятий.</w:t>
      </w:r>
    </w:p>
    <w:bookmarkEnd w:id="3"/>
    <w:bookmarkStart w:name="z9" w:id="4"/>
    <w:p>
      <w:pPr>
        <w:spacing w:after="0"/>
        <w:ind w:left="0"/>
        <w:jc w:val="both"/>
      </w:pPr>
      <w:r>
        <w:rPr>
          <w:rFonts w:ascii="Times New Roman"/>
          <w:b w:val="false"/>
          <w:i w:val="false"/>
          <w:color w:val="000000"/>
          <w:sz w:val="28"/>
        </w:rPr>
        <w:t>
      К представительским затратам относятся:</w:t>
      </w:r>
    </w:p>
    <w:bookmarkEnd w:id="4"/>
    <w:bookmarkStart w:name="z10" w:id="5"/>
    <w:p>
      <w:pPr>
        <w:spacing w:after="0"/>
        <w:ind w:left="0"/>
        <w:jc w:val="both"/>
      </w:pPr>
      <w:r>
        <w:rPr>
          <w:rFonts w:ascii="Times New Roman"/>
          <w:b w:val="false"/>
          <w:i w:val="false"/>
          <w:color w:val="000000"/>
          <w:sz w:val="28"/>
        </w:rPr>
        <w:t>
      1) аренда помещения для проведения мероприятия;</w:t>
      </w:r>
    </w:p>
    <w:bookmarkEnd w:id="5"/>
    <w:bookmarkStart w:name="z11" w:id="6"/>
    <w:p>
      <w:pPr>
        <w:spacing w:after="0"/>
        <w:ind w:left="0"/>
        <w:jc w:val="both"/>
      </w:pPr>
      <w:r>
        <w:rPr>
          <w:rFonts w:ascii="Times New Roman"/>
          <w:b w:val="false"/>
          <w:i w:val="false"/>
          <w:color w:val="000000"/>
          <w:sz w:val="28"/>
        </w:rPr>
        <w:t>
      2) автотранспортное обслуживание;</w:t>
      </w:r>
    </w:p>
    <w:bookmarkEnd w:id="6"/>
    <w:bookmarkStart w:name="z12" w:id="7"/>
    <w:p>
      <w:pPr>
        <w:spacing w:after="0"/>
        <w:ind w:left="0"/>
        <w:jc w:val="both"/>
      </w:pPr>
      <w:r>
        <w:rPr>
          <w:rFonts w:ascii="Times New Roman"/>
          <w:b w:val="false"/>
          <w:i w:val="false"/>
          <w:color w:val="000000"/>
          <w:sz w:val="28"/>
        </w:rPr>
        <w:t>
      3) услуги переводчиков;</w:t>
      </w:r>
    </w:p>
    <w:bookmarkEnd w:id="7"/>
    <w:bookmarkStart w:name="z13" w:id="8"/>
    <w:p>
      <w:pPr>
        <w:spacing w:after="0"/>
        <w:ind w:left="0"/>
        <w:jc w:val="both"/>
      </w:pPr>
      <w:r>
        <w:rPr>
          <w:rFonts w:ascii="Times New Roman"/>
          <w:b w:val="false"/>
          <w:i w:val="false"/>
          <w:color w:val="000000"/>
          <w:sz w:val="28"/>
        </w:rPr>
        <w:t>
      4) официальные обеды, ужины, фуршеты;</w:t>
      </w:r>
    </w:p>
    <w:bookmarkEnd w:id="8"/>
    <w:bookmarkStart w:name="z14" w:id="9"/>
    <w:p>
      <w:pPr>
        <w:spacing w:after="0"/>
        <w:ind w:left="0"/>
        <w:jc w:val="both"/>
      </w:pPr>
      <w:r>
        <w:rPr>
          <w:rFonts w:ascii="Times New Roman"/>
          <w:b w:val="false"/>
          <w:i w:val="false"/>
          <w:color w:val="000000"/>
          <w:sz w:val="28"/>
        </w:rPr>
        <w:t>
      5) приобретение сувениров, памятных подарков;</w:t>
      </w:r>
    </w:p>
    <w:bookmarkEnd w:id="9"/>
    <w:bookmarkStart w:name="z15" w:id="10"/>
    <w:p>
      <w:pPr>
        <w:spacing w:after="0"/>
        <w:ind w:left="0"/>
        <w:jc w:val="both"/>
      </w:pPr>
      <w:r>
        <w:rPr>
          <w:rFonts w:ascii="Times New Roman"/>
          <w:b w:val="false"/>
          <w:i w:val="false"/>
          <w:color w:val="000000"/>
          <w:sz w:val="28"/>
        </w:rPr>
        <w:t>
      6) иные затраты, разрешенные акимом столицы, области, города республиканского значения.";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"4. Выделение средств из местного бюджета на представительские затраты осуществляется на основании соответствующего порядка местного исполнительного органа столицы, области, города республиканского значения.";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"6. Администратор местных бюджетных программ в течение 10 календарных дней после проведения мероприятия представляет соответствующему местному исполнительному органу столицы, области, города республиканского значения отчет об использовании средств, выделенных на представительские затраты, за подписью первого руководителя (лица, его заменяющего), с приложением:</w:t>
      </w:r>
    </w:p>
    <w:bookmarkEnd w:id="12"/>
    <w:bookmarkStart w:name="z21" w:id="13"/>
    <w:p>
      <w:pPr>
        <w:spacing w:after="0"/>
        <w:ind w:left="0"/>
        <w:jc w:val="both"/>
      </w:pPr>
      <w:r>
        <w:rPr>
          <w:rFonts w:ascii="Times New Roman"/>
          <w:b w:val="false"/>
          <w:i w:val="false"/>
          <w:color w:val="000000"/>
          <w:sz w:val="28"/>
        </w:rPr>
        <w:t>
      1) основания для проведения мероприятия, сметы расходов и документов, предусмотренных подпунктами 2) и 4) пункта 5 настоящих Типовых правил;</w:t>
      </w:r>
    </w:p>
    <w:bookmarkEnd w:id="13"/>
    <w:bookmarkStart w:name="z22" w:id="14"/>
    <w:p>
      <w:pPr>
        <w:spacing w:after="0"/>
        <w:ind w:left="0"/>
        <w:jc w:val="both"/>
      </w:pPr>
      <w:r>
        <w:rPr>
          <w:rFonts w:ascii="Times New Roman"/>
          <w:b w:val="false"/>
          <w:i w:val="false"/>
          <w:color w:val="000000"/>
          <w:sz w:val="28"/>
        </w:rPr>
        <w:t>
      2) документа, подтверждающего фактическое количество участников;</w:t>
      </w:r>
    </w:p>
    <w:bookmarkEnd w:id="14"/>
    <w:bookmarkStart w:name="z23" w:id="15"/>
    <w:p>
      <w:pPr>
        <w:spacing w:after="0"/>
        <w:ind w:left="0"/>
        <w:jc w:val="both"/>
      </w:pPr>
      <w:r>
        <w:rPr>
          <w:rFonts w:ascii="Times New Roman"/>
          <w:b w:val="false"/>
          <w:i w:val="false"/>
          <w:color w:val="000000"/>
          <w:sz w:val="28"/>
        </w:rPr>
        <w:t>
      3) копий документов, подтверждающих фактические затраты по смете расходов (квитанции, счета-фактуры, накладные, акты выполненных работ (оказанных услуг) с указанием стоимости и объема приобретенных товаров, работ и услуг, договора).</w:t>
      </w:r>
    </w:p>
    <w:bookmarkEnd w:id="15"/>
    <w:bookmarkStart w:name="z24" w:id="16"/>
    <w:p>
      <w:pPr>
        <w:spacing w:after="0"/>
        <w:ind w:left="0"/>
        <w:jc w:val="both"/>
      </w:pPr>
      <w:r>
        <w:rPr>
          <w:rFonts w:ascii="Times New Roman"/>
          <w:b w:val="false"/>
          <w:i w:val="false"/>
          <w:color w:val="000000"/>
          <w:sz w:val="28"/>
        </w:rPr>
        <w:t>
      7. Местным исполнительным органом столицы, области, города республиканского значения потребность в представительских затратах определяется с учетом выполнения возложенных функций и полномочий на основе результатов анализа необходимости, обоснованности и целесообразности осуществления данных затрат.";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"9. Нормы представительских затрат разрабатываются в табличном виде с указанием в них:</w:t>
      </w:r>
    </w:p>
    <w:bookmarkEnd w:id="17"/>
    <w:bookmarkStart w:name="z27" w:id="18"/>
    <w:p>
      <w:pPr>
        <w:spacing w:after="0"/>
        <w:ind w:left="0"/>
        <w:jc w:val="both"/>
      </w:pPr>
      <w:r>
        <w:rPr>
          <w:rFonts w:ascii="Times New Roman"/>
          <w:b w:val="false"/>
          <w:i w:val="false"/>
          <w:color w:val="000000"/>
          <w:sz w:val="28"/>
        </w:rPr>
        <w:t>
      1) наименования представительских затрат;</w:t>
      </w:r>
    </w:p>
    <w:bookmarkEnd w:id="18"/>
    <w:bookmarkStart w:name="z28" w:id="19"/>
    <w:p>
      <w:pPr>
        <w:spacing w:after="0"/>
        <w:ind w:left="0"/>
        <w:jc w:val="both"/>
      </w:pPr>
      <w:r>
        <w:rPr>
          <w:rFonts w:ascii="Times New Roman"/>
          <w:b w:val="false"/>
          <w:i w:val="false"/>
          <w:color w:val="000000"/>
          <w:sz w:val="28"/>
        </w:rPr>
        <w:t>
      2) стоимости представительских затрат в теңге, из расчета на единицу.</w:t>
      </w:r>
    </w:p>
    <w:bookmarkEnd w:id="19"/>
    <w:bookmarkStart w:name="z29" w:id="20"/>
    <w:p>
      <w:pPr>
        <w:spacing w:after="0"/>
        <w:ind w:left="0"/>
        <w:jc w:val="both"/>
      </w:pPr>
      <w:r>
        <w:rPr>
          <w:rFonts w:ascii="Times New Roman"/>
          <w:b w:val="false"/>
          <w:i w:val="false"/>
          <w:color w:val="000000"/>
          <w:sz w:val="28"/>
        </w:rPr>
        <w:t>
      При необходимости, делаются ссылки на примечания, приводятся уточнения применения норм представительских затрат.".</w:t>
      </w:r>
    </w:p>
    <w:bookmarkEnd w:id="20"/>
    <w:bookmarkStart w:name="z30" w:id="21"/>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21"/>
    <w:bookmarkStart w:name="z31"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2"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23"/>
    <w:bookmarkStart w:name="z33"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4"/>
    <w:bookmarkStart w:name="z34" w:id="2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