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961b3" w14:textId="08961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информации и коммуникаций Республики Казахстан от 29 октября 2016 года № 232 "Об утверждении Правил функционирования государственной информационной системы разрешений и уведомлений"</w:t>
      </w:r>
    </w:p>
    <w:p>
      <w:pPr>
        <w:spacing w:after="0"/>
        <w:ind w:left="0"/>
        <w:jc w:val="both"/>
      </w:pPr>
      <w:r>
        <w:rPr>
          <w:rFonts w:ascii="Times New Roman"/>
          <w:b w:val="false"/>
          <w:i w:val="false"/>
          <w:color w:val="000000"/>
          <w:sz w:val="28"/>
        </w:rPr>
        <w:t>Приказ Заместителя Премьер-Министра – Министра искусственного интеллекта и цифрового развития Республики Казахстан от 1 июля 2026 года № 372/НҚ. Зарегистрирован в Министерстве юстиции Республики Казахстан 2 июля 2026 года № 39211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информации и коммуникаций Республики Казахстан от 29 октября 2016 года № 232 "Об утверждении Правил функционирования государственной информационной системы разрешений и уведомлений" (зарегистрирован в Реестре государственной регистрации в нормативных правовых актов за № 14483) следующие изменения.</w:t>
      </w:r>
    </w:p>
    <w:bookmarkEnd w:id="1"/>
    <w:bookmarkStart w:name="z6"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7" w:id="3"/>
    <w:p>
      <w:pPr>
        <w:spacing w:after="0"/>
        <w:ind w:left="0"/>
        <w:jc w:val="both"/>
      </w:pPr>
      <w:r>
        <w:rPr>
          <w:rFonts w:ascii="Times New Roman"/>
          <w:b w:val="false"/>
          <w:i w:val="false"/>
          <w:color w:val="000000"/>
          <w:sz w:val="28"/>
        </w:rPr>
        <w:t>
      "Об утверждении Правил функционирования государственной цифровой системы разрешений и уведомлений";</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"1. Утвердить прилагаемые Правила функционирования государственной цифровой системы разрешений и уведомлений";</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функционирования государственной информационной системы разрешений и уведомлений изложить в новой редакции согласно, приложению к настоящему приказу.</w:t>
      </w:r>
    </w:p>
    <w:bookmarkStart w:name="z11" w:id="5"/>
    <w:p>
      <w:pPr>
        <w:spacing w:after="0"/>
        <w:ind w:left="0"/>
        <w:jc w:val="both"/>
      </w:pPr>
      <w:r>
        <w:rPr>
          <w:rFonts w:ascii="Times New Roman"/>
          <w:b w:val="false"/>
          <w:i w:val="false"/>
          <w:color w:val="000000"/>
          <w:sz w:val="28"/>
        </w:rPr>
        <w:t>
      2. Комитету государственных услуг Министерства искусственного интеллекта и цифрового развития Республики Казахстан в установленном законодательством Республики Казахстан порядке обеспечить:</w:t>
      </w:r>
    </w:p>
    <w:bookmarkEnd w:id="5"/>
    <w:bookmarkStart w:name="z12"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3"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искусственного интеллекта и цифрового развития Республики Казахстан после его официального опубликования;</w:t>
      </w:r>
    </w:p>
    <w:bookmarkEnd w:id="7"/>
    <w:bookmarkStart w:name="z14"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 предусмотренных подпунктами 1) и 2) настоящего пункта.</w:t>
      </w:r>
    </w:p>
    <w:bookmarkEnd w:id="8"/>
    <w:bookmarkStart w:name="z15" w:id="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искусственного интеллекта и цифрового развития Республики Казахстан.</w:t>
      </w:r>
    </w:p>
    <w:bookmarkEnd w:id="9"/>
    <w:bookmarkStart w:name="z16" w:id="10"/>
    <w:p>
      <w:pPr>
        <w:spacing w:after="0"/>
        <w:ind w:left="0"/>
        <w:jc w:val="both"/>
      </w:pPr>
      <w:r>
        <w:rPr>
          <w:rFonts w:ascii="Times New Roman"/>
          <w:b w:val="false"/>
          <w:i w:val="false"/>
          <w:color w:val="000000"/>
          <w:sz w:val="28"/>
        </w:rPr>
        <w:t>
      4. Настоящий приказ вводится в действие с 12 июля 2026 года и подлежит официальному опубликованию.</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 –</w:t>
            </w:r>
          </w:p>
          <w:p>
            <w:pPr>
              <w:spacing w:after="20"/>
              <w:ind w:left="20"/>
              <w:jc w:val="both"/>
            </w:pPr>
          </w:p>
          <w:p>
            <w:pPr>
              <w:spacing w:after="20"/>
              <w:ind w:left="20"/>
              <w:jc w:val="both"/>
            </w:pPr>
            <w:r>
              <w:rPr>
                <w:rFonts w:ascii="Times New Roman"/>
                <w:b w:val="false"/>
                <w:i/>
                <w:color w:val="000000"/>
                <w:sz w:val="20"/>
              </w:rPr>
              <w:t>Министр искусственного</w:t>
            </w:r>
          </w:p>
          <w:p>
            <w:pPr>
              <w:spacing w:after="20"/>
              <w:ind w:left="20"/>
              <w:jc w:val="both"/>
            </w:pPr>
            <w:r>
              <w:rPr>
                <w:rFonts w:ascii="Times New Roman"/>
                <w:b w:val="false"/>
                <w:i/>
                <w:color w:val="000000"/>
                <w:sz w:val="20"/>
              </w:rPr>
              <w:t>интеллекта и цифрового развития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p>
      <w:pPr>
        <w:spacing w:after="0"/>
        <w:ind w:left="0"/>
        <w:jc w:val="both"/>
      </w:pPr>
      <w:bookmarkStart w:name="z18"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 xml:space="preserve">       Министерство национальной экономики</w:t>
      </w:r>
    </w:p>
    <w:p>
      <w:pPr>
        <w:spacing w:after="0"/>
        <w:ind w:left="0"/>
        <w:jc w:val="both"/>
      </w:pPr>
      <w:r>
        <w:rPr>
          <w:rFonts w:ascii="Times New Roman"/>
          <w:b w:val="false"/>
          <w:i w:val="false"/>
          <w:color w:val="000000"/>
          <w:sz w:val="28"/>
        </w:rPr>
        <w:t xml:space="preserve">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искусственного</w:t>
            </w:r>
            <w:r>
              <w:br/>
            </w:r>
            <w:r>
              <w:rPr>
                <w:rFonts w:ascii="Times New Roman"/>
                <w:b w:val="false"/>
                <w:i w:val="false"/>
                <w:color w:val="000000"/>
                <w:sz w:val="20"/>
              </w:rPr>
              <w:t>интеллекта и цифрового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июля 2026 года № 372/НҚ</w:t>
            </w:r>
          </w:p>
        </w:tc>
      </w:tr>
    </w:tbl>
    <w:bookmarkStart w:name="z20" w:id="12"/>
    <w:p>
      <w:pPr>
        <w:spacing w:after="0"/>
        <w:ind w:left="0"/>
        <w:jc w:val="left"/>
      </w:pPr>
      <w:r>
        <w:rPr>
          <w:rFonts w:ascii="Times New Roman"/>
          <w:b/>
          <w:i w:val="false"/>
          <w:color w:val="000000"/>
        </w:rPr>
        <w:t xml:space="preserve"> Правила функционирования государственной цифровой системы разрешений и уведомлений</w:t>
      </w:r>
    </w:p>
    <w:bookmarkEnd w:id="12"/>
    <w:bookmarkStart w:name="z21" w:id="13"/>
    <w:p>
      <w:pPr>
        <w:spacing w:after="0"/>
        <w:ind w:left="0"/>
        <w:jc w:val="left"/>
      </w:pPr>
      <w:r>
        <w:rPr>
          <w:rFonts w:ascii="Times New Roman"/>
          <w:b/>
          <w:i w:val="false"/>
          <w:color w:val="000000"/>
        </w:rPr>
        <w:t xml:space="preserve"> Глава 1. Общие положения</w:t>
      </w:r>
    </w:p>
    <w:bookmarkEnd w:id="13"/>
    <w:bookmarkStart w:name="z22" w:id="14"/>
    <w:p>
      <w:pPr>
        <w:spacing w:after="0"/>
        <w:ind w:left="0"/>
        <w:jc w:val="both"/>
      </w:pPr>
      <w:r>
        <w:rPr>
          <w:rFonts w:ascii="Times New Roman"/>
          <w:b w:val="false"/>
          <w:i w:val="false"/>
          <w:color w:val="000000"/>
          <w:sz w:val="28"/>
        </w:rPr>
        <w:t xml:space="preserve">
      1. Настоящие Правила функционирования государственной цифровой системы разрешений и уведомлений (далее – Правила) разработаны в соответствии с подпунктом 2)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разрешениях и уведомлениях" (далее – Закон) и определяют порядок функционирования государственной цифровой системы разрешений и уведомлений.</w:t>
      </w:r>
    </w:p>
    <w:bookmarkEnd w:id="14"/>
    <w:bookmarkStart w:name="z23" w:id="15"/>
    <w:p>
      <w:pPr>
        <w:spacing w:after="0"/>
        <w:ind w:left="0"/>
        <w:jc w:val="both"/>
      </w:pPr>
      <w:r>
        <w:rPr>
          <w:rFonts w:ascii="Times New Roman"/>
          <w:b w:val="false"/>
          <w:i w:val="false"/>
          <w:color w:val="000000"/>
          <w:sz w:val="28"/>
        </w:rPr>
        <w:t>
      2. Основные понятия, используемые в настоящих Правилах:</w:t>
      </w:r>
    </w:p>
    <w:bookmarkEnd w:id="15"/>
    <w:bookmarkStart w:name="z24" w:id="16"/>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16"/>
    <w:bookmarkStart w:name="z25" w:id="17"/>
    <w:p>
      <w:pPr>
        <w:spacing w:after="0"/>
        <w:ind w:left="0"/>
        <w:jc w:val="both"/>
      </w:pPr>
      <w:r>
        <w:rPr>
          <w:rFonts w:ascii="Times New Roman"/>
          <w:b w:val="false"/>
          <w:i w:val="false"/>
          <w:color w:val="000000"/>
          <w:sz w:val="28"/>
        </w:rPr>
        <w:t>
      2) номер и код административного документа (далее – НИКАД) – номер, присваиваемый электронному документу государственной цифровой системой разрешений и уведомлений;</w:t>
      </w:r>
    </w:p>
    <w:bookmarkEnd w:id="17"/>
    <w:bookmarkStart w:name="z26" w:id="18"/>
    <w:p>
      <w:pPr>
        <w:spacing w:after="0"/>
        <w:ind w:left="0"/>
        <w:jc w:val="both"/>
      </w:pPr>
      <w:r>
        <w:rPr>
          <w:rFonts w:ascii="Times New Roman"/>
          <w:b w:val="false"/>
          <w:i w:val="false"/>
          <w:color w:val="000000"/>
          <w:sz w:val="28"/>
        </w:rPr>
        <w:t>
      3) внешний портал Системы – веб–портал Системы, предоставляющий физическим и юридическим лицам единую точку доступа к услугам в части лицензирования, разрешительной процедуры и уведомительного порядка посредством сети Интернет;</w:t>
      </w:r>
    </w:p>
    <w:bookmarkEnd w:id="18"/>
    <w:bookmarkStart w:name="z27" w:id="19"/>
    <w:p>
      <w:pPr>
        <w:spacing w:after="0"/>
        <w:ind w:left="0"/>
        <w:jc w:val="both"/>
      </w:pPr>
      <w:r>
        <w:rPr>
          <w:rFonts w:ascii="Times New Roman"/>
          <w:b w:val="false"/>
          <w:i w:val="false"/>
          <w:color w:val="000000"/>
          <w:sz w:val="28"/>
        </w:rPr>
        <w:t>
      4) регистрация на внешнем портале Системы – допуск субъекта, его должностных лиц и заинтересованных лиц к участию в осуществлении процессов лицензирования, разрешительной процедуры и уведомительного порядка на внешнем портале Системы;</w:t>
      </w:r>
    </w:p>
    <w:bookmarkEnd w:id="19"/>
    <w:bookmarkStart w:name="z28" w:id="20"/>
    <w:p>
      <w:pPr>
        <w:spacing w:after="0"/>
        <w:ind w:left="0"/>
        <w:jc w:val="both"/>
      </w:pPr>
      <w:r>
        <w:rPr>
          <w:rFonts w:ascii="Times New Roman"/>
          <w:b w:val="false"/>
          <w:i w:val="false"/>
          <w:color w:val="000000"/>
          <w:sz w:val="28"/>
        </w:rPr>
        <w:t>
      5) авторизованный пользователь внешнего портала Системы – физическое или юридическое лицо либо их представитель, прошедший регистрацию и авторизацию на внешнем портале Системы, использующий цифровые объекты для выполнения конкретной функции и (или) задачи;</w:t>
      </w:r>
    </w:p>
    <w:bookmarkEnd w:id="20"/>
    <w:bookmarkStart w:name="z29" w:id="21"/>
    <w:p>
      <w:pPr>
        <w:spacing w:after="0"/>
        <w:ind w:left="0"/>
        <w:jc w:val="both"/>
      </w:pPr>
      <w:r>
        <w:rPr>
          <w:rFonts w:ascii="Times New Roman"/>
          <w:b w:val="false"/>
          <w:i w:val="false"/>
          <w:color w:val="000000"/>
          <w:sz w:val="28"/>
        </w:rPr>
        <w:t>
      6) внутренний портал Системы – веб-портал Системы, обеспечивающий процессы лицензирования, разрешительного и уведомительного порядков со стороны разрешительных органов и государственных органов, ведущих реестр субъектов, подавших уведомление, посредством Единой транспортной среды государственных органов;</w:t>
      </w:r>
    </w:p>
    <w:bookmarkEnd w:id="21"/>
    <w:bookmarkStart w:name="z30" w:id="22"/>
    <w:p>
      <w:pPr>
        <w:spacing w:after="0"/>
        <w:ind w:left="0"/>
        <w:jc w:val="both"/>
      </w:pPr>
      <w:r>
        <w:rPr>
          <w:rFonts w:ascii="Times New Roman"/>
          <w:b w:val="false"/>
          <w:i w:val="false"/>
          <w:color w:val="000000"/>
          <w:sz w:val="28"/>
        </w:rPr>
        <w:t>
      7) регистрация на внутреннем портале Системы – допуск уполномоченного лица разрешительного органа к участию в осуществлении процессов лицензирования, разрешительной процедуры и уведомительного порядка на внутреннем портале Системы;</w:t>
      </w:r>
    </w:p>
    <w:bookmarkEnd w:id="22"/>
    <w:bookmarkStart w:name="z31" w:id="23"/>
    <w:p>
      <w:pPr>
        <w:spacing w:after="0"/>
        <w:ind w:left="0"/>
        <w:jc w:val="both"/>
      </w:pPr>
      <w:r>
        <w:rPr>
          <w:rFonts w:ascii="Times New Roman"/>
          <w:b w:val="false"/>
          <w:i w:val="false"/>
          <w:color w:val="000000"/>
          <w:sz w:val="28"/>
        </w:rPr>
        <w:t>
      8) транспортная подпись – электронная цифровая подпись, используемая для обеспечения целостности и авторства передаваемых сообщений при информационном взаимодействии цифровых систем с применением спецификации безопасности веб-сервисов (Web Service Security);</w:t>
      </w:r>
    </w:p>
    <w:bookmarkEnd w:id="23"/>
    <w:bookmarkStart w:name="z32" w:id="24"/>
    <w:p>
      <w:pPr>
        <w:spacing w:after="0"/>
        <w:ind w:left="0"/>
        <w:jc w:val="both"/>
      </w:pPr>
      <w:r>
        <w:rPr>
          <w:rFonts w:ascii="Times New Roman"/>
          <w:b w:val="false"/>
          <w:i w:val="false"/>
          <w:color w:val="000000"/>
          <w:sz w:val="28"/>
        </w:rPr>
        <w:t>
      9) разрешение, выдаваемое на бумажном носителе – разрешение, оформленное в Системе, распечатанное на бумажном носителе либо на нумерованном бланке строгой отчетности;</w:t>
      </w:r>
    </w:p>
    <w:bookmarkEnd w:id="24"/>
    <w:bookmarkStart w:name="z33" w:id="25"/>
    <w:p>
      <w:pPr>
        <w:spacing w:after="0"/>
        <w:ind w:left="0"/>
        <w:jc w:val="both"/>
      </w:pPr>
      <w:r>
        <w:rPr>
          <w:rFonts w:ascii="Times New Roman"/>
          <w:b w:val="false"/>
          <w:i w:val="false"/>
          <w:color w:val="000000"/>
          <w:sz w:val="28"/>
        </w:rPr>
        <w:t>
      10) цифровая система мониторинга оказания государственных услуг –цифровая система, предназначенная для автоматизации и мониторинга процесса оказания государственных услуг, в том числе оказываемых через Государственную корпорацию "Правительство для граждан";</w:t>
      </w:r>
    </w:p>
    <w:bookmarkEnd w:id="25"/>
    <w:bookmarkStart w:name="z34" w:id="26"/>
    <w:p>
      <w:pPr>
        <w:spacing w:after="0"/>
        <w:ind w:left="0"/>
        <w:jc w:val="both"/>
      </w:pPr>
      <w:r>
        <w:rPr>
          <w:rFonts w:ascii="Times New Roman"/>
          <w:b w:val="false"/>
          <w:i w:val="false"/>
          <w:color w:val="000000"/>
          <w:sz w:val="28"/>
        </w:rPr>
        <w:t>
      11) заявитель – физическое или юридическое лицо, филиал или представительство юридического лица, лицензиат, владелец разрешения второй категории, обратившиеся в соответствующий разрешительный орган для прохождения лицензирования или разрешительной процедуры или направившие уведомление;</w:t>
      </w:r>
    </w:p>
    <w:bookmarkEnd w:id="26"/>
    <w:bookmarkStart w:name="z35" w:id="27"/>
    <w:p>
      <w:pPr>
        <w:spacing w:after="0"/>
        <w:ind w:left="0"/>
        <w:jc w:val="both"/>
      </w:pPr>
      <w:r>
        <w:rPr>
          <w:rFonts w:ascii="Times New Roman"/>
          <w:b w:val="false"/>
          <w:i w:val="false"/>
          <w:color w:val="000000"/>
          <w:sz w:val="28"/>
        </w:rPr>
        <w:t>
      12) государственная цифровая система разрешений и уведомлений (далее – Система) – цифровая система, являющаяся компонентом "цифрового правительства", предназначенная для осуществления в цифровом виде лицензирования, разрешительных процедур в части получения разрешения с присвоением идентификационного номера, направления уведомления заявителем и обеспечения этих процессов;</w:t>
      </w:r>
    </w:p>
    <w:bookmarkEnd w:id="27"/>
    <w:bookmarkStart w:name="z36" w:id="28"/>
    <w:p>
      <w:pPr>
        <w:spacing w:after="0"/>
        <w:ind w:left="0"/>
        <w:jc w:val="both"/>
      </w:pPr>
      <w:r>
        <w:rPr>
          <w:rFonts w:ascii="Times New Roman"/>
          <w:b w:val="false"/>
          <w:i w:val="false"/>
          <w:color w:val="000000"/>
          <w:sz w:val="28"/>
        </w:rPr>
        <w:t>
      13) государственный цифровой реестр разрешений и уведомлений – компонент государственной цифровой системы разрешений и уведомлений, содержащий сведения о выданных, переоформленных, приостановленных, аннулированных, продленных, возобновленных и прекративших действие разрешениях и их дубликатах, а также о полученных уведомлениях;</w:t>
      </w:r>
    </w:p>
    <w:bookmarkEnd w:id="28"/>
    <w:bookmarkStart w:name="z37" w:id="29"/>
    <w:p>
      <w:pPr>
        <w:spacing w:after="0"/>
        <w:ind w:left="0"/>
        <w:jc w:val="both"/>
      </w:pPr>
      <w:r>
        <w:rPr>
          <w:rFonts w:ascii="Times New Roman"/>
          <w:b w:val="false"/>
          <w:i w:val="false"/>
          <w:color w:val="000000"/>
          <w:sz w:val="28"/>
        </w:rPr>
        <w:t>
      14) перечень разрешений (далее - перечень) – перечень разрешений, по которым проверка заявителя на соответствие квалификационным или разрешительным требованиям и выдача разрешения либо мотивированного отказа осуществляются в автоматическом режиме проверки заявителя и выдачи разрешения в государственной цифровой системе разрешений и уведомлений, утвержденный уполномоченным органом в сфере цифровизации;</w:t>
      </w:r>
    </w:p>
    <w:bookmarkEnd w:id="29"/>
    <w:bookmarkStart w:name="z38" w:id="30"/>
    <w:p>
      <w:pPr>
        <w:spacing w:after="0"/>
        <w:ind w:left="0"/>
        <w:jc w:val="both"/>
      </w:pPr>
      <w:r>
        <w:rPr>
          <w:rFonts w:ascii="Times New Roman"/>
          <w:b w:val="false"/>
          <w:i w:val="false"/>
          <w:color w:val="000000"/>
          <w:sz w:val="28"/>
        </w:rPr>
        <w:t>
      15) реестр разрешений – раздел государственного цифрового реестра разрешений и уведомлений, содержащая сведения о разрешениях первой и второй категории, их статусах и истории действий над данными документами;</w:t>
      </w:r>
    </w:p>
    <w:bookmarkEnd w:id="30"/>
    <w:bookmarkStart w:name="z39" w:id="31"/>
    <w:p>
      <w:pPr>
        <w:spacing w:after="0"/>
        <w:ind w:left="0"/>
        <w:jc w:val="both"/>
      </w:pPr>
      <w:r>
        <w:rPr>
          <w:rFonts w:ascii="Times New Roman"/>
          <w:b w:val="false"/>
          <w:i w:val="false"/>
          <w:color w:val="000000"/>
          <w:sz w:val="28"/>
        </w:rPr>
        <w:t>
      16) электронная форма разрешения (электронное разрешение) – разрешение в форме электронного документа, оформляемое и получаемое с использованием государственной цифровой системы разрешений и уведомлений, равнозначное разрешению на бумажном носителе;</w:t>
      </w:r>
    </w:p>
    <w:bookmarkEnd w:id="31"/>
    <w:bookmarkStart w:name="z40" w:id="32"/>
    <w:p>
      <w:pPr>
        <w:spacing w:after="0"/>
        <w:ind w:left="0"/>
        <w:jc w:val="both"/>
      </w:pPr>
      <w:r>
        <w:rPr>
          <w:rFonts w:ascii="Times New Roman"/>
          <w:b w:val="false"/>
          <w:i w:val="false"/>
          <w:color w:val="000000"/>
          <w:sz w:val="28"/>
        </w:rPr>
        <w:t>
      17) исторические данные – информация о разрешениях и уведомлениях, выданных или направленных в период временного или постоянного отсутствия у разрешительных и государственных органов, осуществляющих прием уведомлений, возможности ведения государственного цифрового реестра разрешений и уведомлений;</w:t>
      </w:r>
    </w:p>
    <w:bookmarkEnd w:id="32"/>
    <w:bookmarkStart w:name="z41" w:id="33"/>
    <w:p>
      <w:pPr>
        <w:spacing w:after="0"/>
        <w:ind w:left="0"/>
        <w:jc w:val="both"/>
      </w:pPr>
      <w:r>
        <w:rPr>
          <w:rFonts w:ascii="Times New Roman"/>
          <w:b w:val="false"/>
          <w:i w:val="false"/>
          <w:color w:val="000000"/>
          <w:sz w:val="28"/>
        </w:rPr>
        <w:t>
      18) конвертация исторических данных – процесс подтверждения разрешения в электронном формате электронно цифровой подписью руководителя уполномоченного органа, выдавшего разрешение в период временного или постоянного отсутствия возможности ведения разрешительным органом государственного цифрового реестра разрешений и уведомлений (присвоение матричного кода);</w:t>
      </w:r>
    </w:p>
    <w:bookmarkEnd w:id="33"/>
    <w:bookmarkStart w:name="z42" w:id="34"/>
    <w:p>
      <w:pPr>
        <w:spacing w:after="0"/>
        <w:ind w:left="0"/>
        <w:jc w:val="both"/>
      </w:pPr>
      <w:r>
        <w:rPr>
          <w:rFonts w:ascii="Times New Roman"/>
          <w:b w:val="false"/>
          <w:i w:val="false"/>
          <w:color w:val="000000"/>
          <w:sz w:val="28"/>
        </w:rPr>
        <w:t>
      19) восстановление исторических данных – процесс наполнения реестра разрешений историческими данными в период временного или постоянного отсутствия возможности ведения разрешительным органом государственного цифрового реестра разрешений и уведомлений;</w:t>
      </w:r>
    </w:p>
    <w:bookmarkEnd w:id="34"/>
    <w:bookmarkStart w:name="z43" w:id="35"/>
    <w:p>
      <w:pPr>
        <w:spacing w:after="0"/>
        <w:ind w:left="0"/>
        <w:jc w:val="both"/>
      </w:pPr>
      <w:r>
        <w:rPr>
          <w:rFonts w:ascii="Times New Roman"/>
          <w:b w:val="false"/>
          <w:i w:val="false"/>
          <w:color w:val="000000"/>
          <w:sz w:val="28"/>
        </w:rPr>
        <w:t>
      20) уведомление – документ, составленный заявителем по утвержденной уполномоченным органом в сфере разрешений и уведомлений, Национальным Банком Республики Казахстан или уполномоченным органом по регулированию, контролю и надзору финансового рынка и финансовых организаций форме, информирующий о начале или прекращении осуществления деятельности или действия;</w:t>
      </w:r>
    </w:p>
    <w:bookmarkEnd w:id="35"/>
    <w:bookmarkStart w:name="z44" w:id="36"/>
    <w:p>
      <w:pPr>
        <w:spacing w:after="0"/>
        <w:ind w:left="0"/>
        <w:jc w:val="both"/>
      </w:pPr>
      <w:r>
        <w:rPr>
          <w:rFonts w:ascii="Times New Roman"/>
          <w:b w:val="false"/>
          <w:i w:val="false"/>
          <w:color w:val="000000"/>
          <w:sz w:val="28"/>
        </w:rPr>
        <w:t>
      21) субъект, подавший уведомление – физическое или юридическое лицо, осуществившее уведомление о начале и прекращении деятельности или действия;</w:t>
      </w:r>
    </w:p>
    <w:bookmarkEnd w:id="36"/>
    <w:bookmarkStart w:name="z45" w:id="37"/>
    <w:p>
      <w:pPr>
        <w:spacing w:after="0"/>
        <w:ind w:left="0"/>
        <w:jc w:val="both"/>
      </w:pPr>
      <w:r>
        <w:rPr>
          <w:rFonts w:ascii="Times New Roman"/>
          <w:b w:val="false"/>
          <w:i w:val="false"/>
          <w:color w:val="000000"/>
          <w:sz w:val="28"/>
        </w:rPr>
        <w:t>
      22) реестр субъектов, подавших уведомление – раздел государственного цифрового реестра разрешений и уведомлений, содержащая сведения о субъектах, подавших уведомление о начале или прекращении осуществления деятельности или определенных действий;</w:t>
      </w:r>
    </w:p>
    <w:bookmarkEnd w:id="37"/>
    <w:bookmarkStart w:name="z46" w:id="38"/>
    <w:p>
      <w:pPr>
        <w:spacing w:after="0"/>
        <w:ind w:left="0"/>
        <w:jc w:val="both"/>
      </w:pPr>
      <w:r>
        <w:rPr>
          <w:rFonts w:ascii="Times New Roman"/>
          <w:b w:val="false"/>
          <w:i w:val="false"/>
          <w:color w:val="000000"/>
          <w:sz w:val="28"/>
        </w:rPr>
        <w:t>
      23) цифровой документ – нематериальное цифровое представление достоверных сведений, формируемое в цифровой среде на основании данных, содержащихся в национальных регистрах, в момент запроса или предъявления;</w:t>
      </w:r>
    </w:p>
    <w:bookmarkEnd w:id="38"/>
    <w:bookmarkStart w:name="z47" w:id="39"/>
    <w:p>
      <w:pPr>
        <w:spacing w:after="0"/>
        <w:ind w:left="0"/>
        <w:jc w:val="both"/>
      </w:pPr>
      <w:r>
        <w:rPr>
          <w:rFonts w:ascii="Times New Roman"/>
          <w:b w:val="false"/>
          <w:i w:val="false"/>
          <w:color w:val="000000"/>
          <w:sz w:val="28"/>
        </w:rPr>
        <w:t>
      24) "интеграция" цифровых объектов – мероприятия по организации и обеспечению взаимодействия между цифровыми объектами посредством интеграционных сервисов с использованием стандартных протоколов передачи данных;</w:t>
      </w:r>
    </w:p>
    <w:bookmarkEnd w:id="39"/>
    <w:bookmarkStart w:name="z48" w:id="40"/>
    <w:p>
      <w:pPr>
        <w:spacing w:after="0"/>
        <w:ind w:left="0"/>
        <w:jc w:val="both"/>
      </w:pPr>
      <w:r>
        <w:rPr>
          <w:rFonts w:ascii="Times New Roman"/>
          <w:b w:val="false"/>
          <w:i w:val="false"/>
          <w:color w:val="000000"/>
          <w:sz w:val="28"/>
        </w:rPr>
        <w:t>
      25) оператор "цифрового правительства" (далее – Оператор) – юридическое лицо, определяемое Правительством Республики Казахстан, обеспечивающи функционирование цифровых объектов "цифрового правительства";</w:t>
      </w:r>
    </w:p>
    <w:bookmarkEnd w:id="40"/>
    <w:bookmarkStart w:name="z49" w:id="41"/>
    <w:p>
      <w:pPr>
        <w:spacing w:after="0"/>
        <w:ind w:left="0"/>
        <w:jc w:val="both"/>
      </w:pPr>
      <w:r>
        <w:rPr>
          <w:rFonts w:ascii="Times New Roman"/>
          <w:b w:val="false"/>
          <w:i w:val="false"/>
          <w:color w:val="000000"/>
          <w:sz w:val="28"/>
        </w:rPr>
        <w:t>
      26) кабинет пользователя на веб-портале "цифрового правительства" (далее – личный кабинет) – взаимодействие физических и юридических лиц с субъектами предоставления услуг по вопросам оказания государственных услуг, обращения к субъектам, рассматривающим обращения указанных лиц, а также использования персональных данных;</w:t>
      </w:r>
    </w:p>
    <w:bookmarkEnd w:id="41"/>
    <w:bookmarkStart w:name="z50" w:id="42"/>
    <w:p>
      <w:pPr>
        <w:spacing w:after="0"/>
        <w:ind w:left="0"/>
        <w:jc w:val="both"/>
      </w:pPr>
      <w:r>
        <w:rPr>
          <w:rFonts w:ascii="Times New Roman"/>
          <w:b w:val="false"/>
          <w:i w:val="false"/>
          <w:color w:val="000000"/>
          <w:sz w:val="28"/>
        </w:rPr>
        <w:t>
      27) матричный код электронного документа (далее – матричный код) – графическая информация об электронном документе в формате расширяемый язык разметки (eXtensible Markup Language) (далее – XML), наносимая на форму представления документа, представляющая возможность считывания ее техническими средствами;</w:t>
      </w:r>
    </w:p>
    <w:bookmarkEnd w:id="42"/>
    <w:bookmarkStart w:name="z51" w:id="43"/>
    <w:p>
      <w:pPr>
        <w:spacing w:after="0"/>
        <w:ind w:left="0"/>
        <w:jc w:val="both"/>
      </w:pPr>
      <w:r>
        <w:rPr>
          <w:rFonts w:ascii="Times New Roman"/>
          <w:b w:val="false"/>
          <w:i w:val="false"/>
          <w:color w:val="000000"/>
          <w:sz w:val="28"/>
        </w:rPr>
        <w:t>
      28) перевод в электронный цифровой формат – процесс восстановления и (или) конвертации исторических данных в формате XML ранее выданных разрешений на бумажном носителе;</w:t>
      </w:r>
    </w:p>
    <w:bookmarkEnd w:id="43"/>
    <w:bookmarkStart w:name="z52" w:id="44"/>
    <w:p>
      <w:pPr>
        <w:spacing w:after="0"/>
        <w:ind w:left="0"/>
        <w:jc w:val="both"/>
      </w:pPr>
      <w:r>
        <w:rPr>
          <w:rFonts w:ascii="Times New Roman"/>
          <w:b w:val="false"/>
          <w:i w:val="false"/>
          <w:color w:val="000000"/>
          <w:sz w:val="28"/>
        </w:rPr>
        <w:t>
      29) электронная цифровая подпись (далее – ЭЦП) – цифровая запись (набор цифровых данных), созданная с использованием закрытого ключа ЭЦП и средств ЭЦП, подтверждающая достоверность электронного документа, его принадлежность и неизменность содержания;</w:t>
      </w:r>
    </w:p>
    <w:bookmarkEnd w:id="44"/>
    <w:bookmarkStart w:name="z53" w:id="45"/>
    <w:p>
      <w:pPr>
        <w:spacing w:after="0"/>
        <w:ind w:left="0"/>
        <w:jc w:val="both"/>
      </w:pPr>
      <w:r>
        <w:rPr>
          <w:rFonts w:ascii="Times New Roman"/>
          <w:b w:val="false"/>
          <w:i w:val="false"/>
          <w:color w:val="000000"/>
          <w:sz w:val="28"/>
        </w:rPr>
        <w:t>
      30) формат XML – расширяемый язык разметки текста (набор символов или последовательностей, вставляемых в текст для передачи информации о его вводе или строении).</w:t>
      </w:r>
    </w:p>
    <w:bookmarkEnd w:id="45"/>
    <w:bookmarkStart w:name="z54" w:id="46"/>
    <w:p>
      <w:pPr>
        <w:spacing w:after="0"/>
        <w:ind w:left="0"/>
        <w:jc w:val="left"/>
      </w:pPr>
      <w:r>
        <w:rPr>
          <w:rFonts w:ascii="Times New Roman"/>
          <w:b/>
          <w:i w:val="false"/>
          <w:color w:val="000000"/>
        </w:rPr>
        <w:t xml:space="preserve"> Глава 2. Порядок функционирования Системы</w:t>
      </w:r>
    </w:p>
    <w:bookmarkEnd w:id="46"/>
    <w:bookmarkStart w:name="z55" w:id="47"/>
    <w:p>
      <w:pPr>
        <w:spacing w:after="0"/>
        <w:ind w:left="0"/>
        <w:jc w:val="left"/>
      </w:pPr>
      <w:r>
        <w:rPr>
          <w:rFonts w:ascii="Times New Roman"/>
          <w:b/>
          <w:i w:val="false"/>
          <w:color w:val="000000"/>
        </w:rPr>
        <w:t xml:space="preserve"> Параграф 1. Общие положения функционирования Системы</w:t>
      </w:r>
    </w:p>
    <w:bookmarkEnd w:id="47"/>
    <w:bookmarkStart w:name="z56" w:id="48"/>
    <w:p>
      <w:pPr>
        <w:spacing w:after="0"/>
        <w:ind w:left="0"/>
        <w:jc w:val="both"/>
      </w:pPr>
      <w:r>
        <w:rPr>
          <w:rFonts w:ascii="Times New Roman"/>
          <w:b w:val="false"/>
          <w:i w:val="false"/>
          <w:color w:val="000000"/>
          <w:sz w:val="28"/>
        </w:rPr>
        <w:t>
      3. Функциональными задачами Системы являются автоматизация следующих процессов:</w:t>
      </w:r>
    </w:p>
    <w:bookmarkEnd w:id="48"/>
    <w:bookmarkStart w:name="z57" w:id="49"/>
    <w:p>
      <w:pPr>
        <w:spacing w:after="0"/>
        <w:ind w:left="0"/>
        <w:jc w:val="both"/>
      </w:pPr>
      <w:r>
        <w:rPr>
          <w:rFonts w:ascii="Times New Roman"/>
          <w:b w:val="false"/>
          <w:i w:val="false"/>
          <w:color w:val="000000"/>
          <w:sz w:val="28"/>
        </w:rPr>
        <w:t>
      1) подача и рассмотрение заявлений в ходе лицензирования, разрешительной процедуры;</w:t>
      </w:r>
    </w:p>
    <w:bookmarkEnd w:id="49"/>
    <w:bookmarkStart w:name="z58" w:id="50"/>
    <w:p>
      <w:pPr>
        <w:spacing w:after="0"/>
        <w:ind w:left="0"/>
        <w:jc w:val="both"/>
      </w:pPr>
      <w:r>
        <w:rPr>
          <w:rFonts w:ascii="Times New Roman"/>
          <w:b w:val="false"/>
          <w:i w:val="false"/>
          <w:color w:val="000000"/>
          <w:sz w:val="28"/>
        </w:rPr>
        <w:t>
      2) формирование реестра разрешений;</w:t>
      </w:r>
    </w:p>
    <w:bookmarkEnd w:id="50"/>
    <w:bookmarkStart w:name="z59" w:id="51"/>
    <w:p>
      <w:pPr>
        <w:spacing w:after="0"/>
        <w:ind w:left="0"/>
        <w:jc w:val="both"/>
      </w:pPr>
      <w:r>
        <w:rPr>
          <w:rFonts w:ascii="Times New Roman"/>
          <w:b w:val="false"/>
          <w:i w:val="false"/>
          <w:color w:val="000000"/>
          <w:sz w:val="28"/>
        </w:rPr>
        <w:t>
      3) формирование реестра субъектов, подавших уведомление;</w:t>
      </w:r>
    </w:p>
    <w:bookmarkEnd w:id="51"/>
    <w:bookmarkStart w:name="z60" w:id="52"/>
    <w:p>
      <w:pPr>
        <w:spacing w:after="0"/>
        <w:ind w:left="0"/>
        <w:jc w:val="both"/>
      </w:pPr>
      <w:r>
        <w:rPr>
          <w:rFonts w:ascii="Times New Roman"/>
          <w:b w:val="false"/>
          <w:i w:val="false"/>
          <w:color w:val="000000"/>
          <w:sz w:val="28"/>
        </w:rPr>
        <w:t>
      4) формирование реестра саморегулируемых организаций.</w:t>
      </w:r>
    </w:p>
    <w:bookmarkEnd w:id="52"/>
    <w:bookmarkStart w:name="z61" w:id="53"/>
    <w:p>
      <w:pPr>
        <w:spacing w:after="0"/>
        <w:ind w:left="0"/>
        <w:jc w:val="both"/>
      </w:pPr>
      <w:r>
        <w:rPr>
          <w:rFonts w:ascii="Times New Roman"/>
          <w:b w:val="false"/>
          <w:i w:val="false"/>
          <w:color w:val="000000"/>
          <w:sz w:val="28"/>
        </w:rPr>
        <w:t>
      4. Процесс подачи и рассмотрения заявлений в ходе лицензирования, разрешительной процедуры состоит из следующих операций:</w:t>
      </w:r>
    </w:p>
    <w:bookmarkEnd w:id="53"/>
    <w:bookmarkStart w:name="z62" w:id="54"/>
    <w:p>
      <w:pPr>
        <w:spacing w:after="0"/>
        <w:ind w:left="0"/>
        <w:jc w:val="both"/>
      </w:pPr>
      <w:r>
        <w:rPr>
          <w:rFonts w:ascii="Times New Roman"/>
          <w:b w:val="false"/>
          <w:i w:val="false"/>
          <w:color w:val="000000"/>
          <w:sz w:val="28"/>
        </w:rPr>
        <w:t>
      1) подачи заявлений в электронном виде, либо внесения в Систему сведений по заявлениям, поступившим на бумажных носителях;</w:t>
      </w:r>
    </w:p>
    <w:bookmarkEnd w:id="54"/>
    <w:bookmarkStart w:name="z63" w:id="55"/>
    <w:p>
      <w:pPr>
        <w:spacing w:after="0"/>
        <w:ind w:left="0"/>
        <w:jc w:val="both"/>
      </w:pPr>
      <w:r>
        <w:rPr>
          <w:rFonts w:ascii="Times New Roman"/>
          <w:b w:val="false"/>
          <w:i w:val="false"/>
          <w:color w:val="000000"/>
          <w:sz w:val="28"/>
        </w:rPr>
        <w:t>
      2) рассмотрения заявлений;</w:t>
      </w:r>
    </w:p>
    <w:bookmarkEnd w:id="55"/>
    <w:bookmarkStart w:name="z64" w:id="56"/>
    <w:p>
      <w:pPr>
        <w:spacing w:after="0"/>
        <w:ind w:left="0"/>
        <w:jc w:val="both"/>
      </w:pPr>
      <w:r>
        <w:rPr>
          <w:rFonts w:ascii="Times New Roman"/>
          <w:b w:val="false"/>
          <w:i w:val="false"/>
          <w:color w:val="000000"/>
          <w:sz w:val="28"/>
        </w:rPr>
        <w:t>
      3) предоставления заявителям результатов рассмотрения заявлений.</w:t>
      </w:r>
    </w:p>
    <w:bookmarkEnd w:id="56"/>
    <w:bookmarkStart w:name="z65" w:id="57"/>
    <w:p>
      <w:pPr>
        <w:spacing w:after="0"/>
        <w:ind w:left="0"/>
        <w:jc w:val="both"/>
      </w:pPr>
      <w:r>
        <w:rPr>
          <w:rFonts w:ascii="Times New Roman"/>
          <w:b w:val="false"/>
          <w:i w:val="false"/>
          <w:color w:val="000000"/>
          <w:sz w:val="28"/>
        </w:rPr>
        <w:t>
      5. Процесс формирования реестра разрешений состоит из следующих операций:</w:t>
      </w:r>
    </w:p>
    <w:bookmarkEnd w:id="57"/>
    <w:bookmarkStart w:name="z66" w:id="58"/>
    <w:p>
      <w:pPr>
        <w:spacing w:after="0"/>
        <w:ind w:left="0"/>
        <w:jc w:val="both"/>
      </w:pPr>
      <w:r>
        <w:rPr>
          <w:rFonts w:ascii="Times New Roman"/>
          <w:b w:val="false"/>
          <w:i w:val="false"/>
          <w:color w:val="000000"/>
          <w:sz w:val="28"/>
        </w:rPr>
        <w:t>
      1) автоматического внесения положительных результатов рассмотрения заявлений в реестр разрешений, либо внесения в реестр разрешений результатов процесса рассмотрения заявлений, осуществляемого вне Системы;</w:t>
      </w:r>
    </w:p>
    <w:bookmarkEnd w:id="58"/>
    <w:bookmarkStart w:name="z67" w:id="59"/>
    <w:p>
      <w:pPr>
        <w:spacing w:after="0"/>
        <w:ind w:left="0"/>
        <w:jc w:val="both"/>
      </w:pPr>
      <w:r>
        <w:rPr>
          <w:rFonts w:ascii="Times New Roman"/>
          <w:b w:val="false"/>
          <w:i w:val="false"/>
          <w:color w:val="000000"/>
          <w:sz w:val="28"/>
        </w:rPr>
        <w:t>
      2) восстановление исторических данных;</w:t>
      </w:r>
    </w:p>
    <w:bookmarkEnd w:id="59"/>
    <w:bookmarkStart w:name="z68" w:id="60"/>
    <w:p>
      <w:pPr>
        <w:spacing w:after="0"/>
        <w:ind w:left="0"/>
        <w:jc w:val="both"/>
      </w:pPr>
      <w:r>
        <w:rPr>
          <w:rFonts w:ascii="Times New Roman"/>
          <w:b w:val="false"/>
          <w:i w:val="false"/>
          <w:color w:val="000000"/>
          <w:sz w:val="28"/>
        </w:rPr>
        <w:t>
      3) конвертация исторических данных;</w:t>
      </w:r>
    </w:p>
    <w:bookmarkEnd w:id="60"/>
    <w:bookmarkStart w:name="z69" w:id="61"/>
    <w:p>
      <w:pPr>
        <w:spacing w:after="0"/>
        <w:ind w:left="0"/>
        <w:jc w:val="both"/>
      </w:pPr>
      <w:r>
        <w:rPr>
          <w:rFonts w:ascii="Times New Roman"/>
          <w:b w:val="false"/>
          <w:i w:val="false"/>
          <w:color w:val="000000"/>
          <w:sz w:val="28"/>
        </w:rPr>
        <w:t>
      4) выдачи, переоформления, приостановления, аннулирования, продления, возобновления и прекращения действия разрешения или приложения к разрешению.</w:t>
      </w:r>
    </w:p>
    <w:bookmarkEnd w:id="61"/>
    <w:bookmarkStart w:name="z70" w:id="62"/>
    <w:p>
      <w:pPr>
        <w:spacing w:after="0"/>
        <w:ind w:left="0"/>
        <w:jc w:val="both"/>
      </w:pPr>
      <w:r>
        <w:rPr>
          <w:rFonts w:ascii="Times New Roman"/>
          <w:b w:val="false"/>
          <w:i w:val="false"/>
          <w:color w:val="000000"/>
          <w:sz w:val="28"/>
        </w:rPr>
        <w:t>
      6. Процесс формирования реестра субъектов, подавших уведомление, состоит из следующих операций:</w:t>
      </w:r>
    </w:p>
    <w:bookmarkEnd w:id="62"/>
    <w:bookmarkStart w:name="z71" w:id="63"/>
    <w:p>
      <w:pPr>
        <w:spacing w:after="0"/>
        <w:ind w:left="0"/>
        <w:jc w:val="both"/>
      </w:pPr>
      <w:r>
        <w:rPr>
          <w:rFonts w:ascii="Times New Roman"/>
          <w:b w:val="false"/>
          <w:i w:val="false"/>
          <w:color w:val="000000"/>
          <w:sz w:val="28"/>
        </w:rPr>
        <w:t>
      1) подачи уведомлений;</w:t>
      </w:r>
    </w:p>
    <w:bookmarkEnd w:id="63"/>
    <w:bookmarkStart w:name="z72" w:id="64"/>
    <w:p>
      <w:pPr>
        <w:spacing w:after="0"/>
        <w:ind w:left="0"/>
        <w:jc w:val="both"/>
      </w:pPr>
      <w:r>
        <w:rPr>
          <w:rFonts w:ascii="Times New Roman"/>
          <w:b w:val="false"/>
          <w:i w:val="false"/>
          <w:color w:val="000000"/>
          <w:sz w:val="28"/>
        </w:rPr>
        <w:t>
      2) автоматического включения уведомлений в реестр субъектов, подавших уведомление, либо наполнения реестра субъектов, подавших уведомление, историческими данными в период временного или постоянного отсутствия возможности ведения органом, осуществляющим уведомительный порядок, государственного цифрового реестра разрешений и уведомлений;</w:t>
      </w:r>
    </w:p>
    <w:bookmarkEnd w:id="64"/>
    <w:bookmarkStart w:name="z73" w:id="65"/>
    <w:p>
      <w:pPr>
        <w:spacing w:after="0"/>
        <w:ind w:left="0"/>
        <w:jc w:val="both"/>
      </w:pPr>
      <w:r>
        <w:rPr>
          <w:rFonts w:ascii="Times New Roman"/>
          <w:b w:val="false"/>
          <w:i w:val="false"/>
          <w:color w:val="000000"/>
          <w:sz w:val="28"/>
        </w:rPr>
        <w:t>
      3) исключения субъекта, подавшего уведомление, из государственного цифрового реестра разрешений и уведомлений, приостановления, возобновления деятельности субъекта, подавшего уведомление.</w:t>
      </w:r>
    </w:p>
    <w:bookmarkEnd w:id="65"/>
    <w:bookmarkStart w:name="z74" w:id="66"/>
    <w:p>
      <w:pPr>
        <w:spacing w:after="0"/>
        <w:ind w:left="0"/>
        <w:jc w:val="both"/>
      </w:pPr>
      <w:r>
        <w:rPr>
          <w:rFonts w:ascii="Times New Roman"/>
          <w:b w:val="false"/>
          <w:i w:val="false"/>
          <w:color w:val="000000"/>
          <w:sz w:val="28"/>
        </w:rPr>
        <w:t>
      7. Функции подачи заявлений в рамках лицензирования, разрешительной процедуры или направления уведомлений в электронной форме с использованием ЭЦП осуществляются посредством внешнего портала Системы.</w:t>
      </w:r>
    </w:p>
    <w:bookmarkEnd w:id="66"/>
    <w:bookmarkStart w:name="z75" w:id="67"/>
    <w:p>
      <w:pPr>
        <w:spacing w:after="0"/>
        <w:ind w:left="0"/>
        <w:jc w:val="both"/>
      </w:pPr>
      <w:r>
        <w:rPr>
          <w:rFonts w:ascii="Times New Roman"/>
          <w:b w:val="false"/>
          <w:i w:val="false"/>
          <w:color w:val="000000"/>
          <w:sz w:val="28"/>
        </w:rPr>
        <w:t>
      8. Осуществление процессов лицензирования, разрешительной процедуры в электронном виде государственными органами производится посредством внутреннего портала Системы. При наличии у государственного органа собственной цифровой системы указанные процессы осуществляются в данной системе при условии ее интеграции с Системой.</w:t>
      </w:r>
    </w:p>
    <w:bookmarkEnd w:id="67"/>
    <w:bookmarkStart w:name="z76" w:id="68"/>
    <w:p>
      <w:pPr>
        <w:spacing w:after="0"/>
        <w:ind w:left="0"/>
        <w:jc w:val="both"/>
      </w:pPr>
      <w:r>
        <w:rPr>
          <w:rFonts w:ascii="Times New Roman"/>
          <w:b w:val="false"/>
          <w:i w:val="false"/>
          <w:color w:val="000000"/>
          <w:sz w:val="28"/>
        </w:rPr>
        <w:t>
      9. В рамках автоматизации процессов лицензирования, разрешительных процедур и уведомительного порядка в Системе формируются следующие виды электронных документов:</w:t>
      </w:r>
    </w:p>
    <w:bookmarkEnd w:id="68"/>
    <w:bookmarkStart w:name="z77" w:id="69"/>
    <w:p>
      <w:pPr>
        <w:spacing w:after="0"/>
        <w:ind w:left="0"/>
        <w:jc w:val="both"/>
      </w:pPr>
      <w:r>
        <w:rPr>
          <w:rFonts w:ascii="Times New Roman"/>
          <w:b w:val="false"/>
          <w:i w:val="false"/>
          <w:color w:val="000000"/>
          <w:sz w:val="28"/>
        </w:rPr>
        <w:t>
      1) заявления;</w:t>
      </w:r>
    </w:p>
    <w:bookmarkEnd w:id="69"/>
    <w:bookmarkStart w:name="z78" w:id="70"/>
    <w:p>
      <w:pPr>
        <w:spacing w:after="0"/>
        <w:ind w:left="0"/>
        <w:jc w:val="both"/>
      </w:pPr>
      <w:r>
        <w:rPr>
          <w:rFonts w:ascii="Times New Roman"/>
          <w:b w:val="false"/>
          <w:i w:val="false"/>
          <w:color w:val="000000"/>
          <w:sz w:val="28"/>
        </w:rPr>
        <w:t>
      2) уведомления;</w:t>
      </w:r>
    </w:p>
    <w:bookmarkEnd w:id="70"/>
    <w:bookmarkStart w:name="z79" w:id="71"/>
    <w:p>
      <w:pPr>
        <w:spacing w:after="0"/>
        <w:ind w:left="0"/>
        <w:jc w:val="both"/>
      </w:pPr>
      <w:r>
        <w:rPr>
          <w:rFonts w:ascii="Times New Roman"/>
          <w:b w:val="false"/>
          <w:i w:val="false"/>
          <w:color w:val="000000"/>
          <w:sz w:val="28"/>
        </w:rPr>
        <w:t>
      3) извещения, направляемые заявителям в процессе рассмотрения заявлений;</w:t>
      </w:r>
    </w:p>
    <w:bookmarkEnd w:id="71"/>
    <w:bookmarkStart w:name="z80" w:id="72"/>
    <w:p>
      <w:pPr>
        <w:spacing w:after="0"/>
        <w:ind w:left="0"/>
        <w:jc w:val="both"/>
      </w:pPr>
      <w:r>
        <w:rPr>
          <w:rFonts w:ascii="Times New Roman"/>
          <w:b w:val="false"/>
          <w:i w:val="false"/>
          <w:color w:val="000000"/>
          <w:sz w:val="28"/>
        </w:rPr>
        <w:t>
      4) разрешения;</w:t>
      </w:r>
    </w:p>
    <w:bookmarkEnd w:id="72"/>
    <w:bookmarkStart w:name="z81" w:id="73"/>
    <w:p>
      <w:pPr>
        <w:spacing w:after="0"/>
        <w:ind w:left="0"/>
        <w:jc w:val="both"/>
      </w:pPr>
      <w:r>
        <w:rPr>
          <w:rFonts w:ascii="Times New Roman"/>
          <w:b w:val="false"/>
          <w:i w:val="false"/>
          <w:color w:val="000000"/>
          <w:sz w:val="28"/>
        </w:rPr>
        <w:t>
      5) мотивированные отказы в рассмотрении заявлений и выдаче разрешений первой и второй категории;</w:t>
      </w:r>
    </w:p>
    <w:bookmarkEnd w:id="73"/>
    <w:bookmarkStart w:name="z82" w:id="74"/>
    <w:p>
      <w:pPr>
        <w:spacing w:after="0"/>
        <w:ind w:left="0"/>
        <w:jc w:val="both"/>
      </w:pPr>
      <w:r>
        <w:rPr>
          <w:rFonts w:ascii="Times New Roman"/>
          <w:b w:val="false"/>
          <w:i w:val="false"/>
          <w:color w:val="000000"/>
          <w:sz w:val="28"/>
        </w:rPr>
        <w:t>
      6) запросы государственным органам, уполномоченным на согласование выдачи разрешения;</w:t>
      </w:r>
    </w:p>
    <w:bookmarkEnd w:id="74"/>
    <w:bookmarkStart w:name="z83" w:id="75"/>
    <w:p>
      <w:pPr>
        <w:spacing w:after="0"/>
        <w:ind w:left="0"/>
        <w:jc w:val="both"/>
      </w:pPr>
      <w:r>
        <w:rPr>
          <w:rFonts w:ascii="Times New Roman"/>
          <w:b w:val="false"/>
          <w:i w:val="false"/>
          <w:color w:val="000000"/>
          <w:sz w:val="28"/>
        </w:rPr>
        <w:t>
      7) ответы – согласования государственных органов;</w:t>
      </w:r>
    </w:p>
    <w:bookmarkEnd w:id="75"/>
    <w:bookmarkStart w:name="z84" w:id="76"/>
    <w:p>
      <w:pPr>
        <w:spacing w:after="0"/>
        <w:ind w:left="0"/>
        <w:jc w:val="both"/>
      </w:pPr>
      <w:r>
        <w:rPr>
          <w:rFonts w:ascii="Times New Roman"/>
          <w:b w:val="false"/>
          <w:i w:val="false"/>
          <w:color w:val="000000"/>
          <w:sz w:val="28"/>
        </w:rPr>
        <w:t>
      8) извещения, направляемые владельцам разрешений или субъектам, подавшим уведомление, в процессе ведения государственного цифрового реестра разрешений и уведомлений.</w:t>
      </w:r>
    </w:p>
    <w:bookmarkEnd w:id="76"/>
    <w:bookmarkStart w:name="z85" w:id="77"/>
    <w:p>
      <w:pPr>
        <w:spacing w:after="0"/>
        <w:ind w:left="0"/>
        <w:jc w:val="both"/>
      </w:pPr>
      <w:r>
        <w:rPr>
          <w:rFonts w:ascii="Times New Roman"/>
          <w:b w:val="false"/>
          <w:i w:val="false"/>
          <w:color w:val="000000"/>
          <w:sz w:val="28"/>
        </w:rPr>
        <w:t>
      10. Всем электронным документам, сформированным в Системе в формате XML, присваивается НИКАД, сгенерированный Системой по форме согласно приложению к настоящим Правилам.</w:t>
      </w:r>
    </w:p>
    <w:bookmarkEnd w:id="77"/>
    <w:bookmarkStart w:name="z86" w:id="78"/>
    <w:p>
      <w:pPr>
        <w:spacing w:after="0"/>
        <w:ind w:left="0"/>
        <w:jc w:val="both"/>
      </w:pPr>
      <w:r>
        <w:rPr>
          <w:rFonts w:ascii="Times New Roman"/>
          <w:b w:val="false"/>
          <w:i w:val="false"/>
          <w:color w:val="000000"/>
          <w:sz w:val="28"/>
        </w:rPr>
        <w:t>
      11. В Системе имеется возможность загрузки и печати форм представления электронных документов.</w:t>
      </w:r>
    </w:p>
    <w:bookmarkEnd w:id="78"/>
    <w:bookmarkStart w:name="z87" w:id="79"/>
    <w:p>
      <w:pPr>
        <w:spacing w:after="0"/>
        <w:ind w:left="0"/>
        <w:jc w:val="both"/>
      </w:pPr>
      <w:r>
        <w:rPr>
          <w:rFonts w:ascii="Times New Roman"/>
          <w:b w:val="false"/>
          <w:i w:val="false"/>
          <w:color w:val="000000"/>
          <w:sz w:val="28"/>
        </w:rPr>
        <w:t>
      12. Авторизованным пользователям внешнего портала Системы посредством личного кабинета предоставляется возможность осуществления следующих действий:</w:t>
      </w:r>
    </w:p>
    <w:bookmarkEnd w:id="79"/>
    <w:bookmarkStart w:name="z88" w:id="80"/>
    <w:p>
      <w:pPr>
        <w:spacing w:after="0"/>
        <w:ind w:left="0"/>
        <w:jc w:val="both"/>
      </w:pPr>
      <w:r>
        <w:rPr>
          <w:rFonts w:ascii="Times New Roman"/>
          <w:b w:val="false"/>
          <w:i w:val="false"/>
          <w:color w:val="000000"/>
          <w:sz w:val="28"/>
        </w:rPr>
        <w:t>
      1) поиск и просмотр сведений государственного цифрового реестра разрешений и уведомлений, находящихся в открытом доступе;</w:t>
      </w:r>
    </w:p>
    <w:bookmarkEnd w:id="80"/>
    <w:bookmarkStart w:name="z89" w:id="81"/>
    <w:p>
      <w:pPr>
        <w:spacing w:after="0"/>
        <w:ind w:left="0"/>
        <w:jc w:val="both"/>
      </w:pPr>
      <w:r>
        <w:rPr>
          <w:rFonts w:ascii="Times New Roman"/>
          <w:b w:val="false"/>
          <w:i w:val="false"/>
          <w:color w:val="000000"/>
          <w:sz w:val="28"/>
        </w:rPr>
        <w:t>
      2) просмотр информации об условиях получения разрешений и направления уведомлений;</w:t>
      </w:r>
    </w:p>
    <w:bookmarkEnd w:id="81"/>
    <w:bookmarkStart w:name="z90" w:id="82"/>
    <w:p>
      <w:pPr>
        <w:spacing w:after="0"/>
        <w:ind w:left="0"/>
        <w:jc w:val="both"/>
      </w:pPr>
      <w:r>
        <w:rPr>
          <w:rFonts w:ascii="Times New Roman"/>
          <w:b w:val="false"/>
          <w:i w:val="false"/>
          <w:color w:val="000000"/>
          <w:sz w:val="28"/>
        </w:rPr>
        <w:t>
      3) подача электронного заявления для получения разрешения;</w:t>
      </w:r>
    </w:p>
    <w:bookmarkEnd w:id="82"/>
    <w:bookmarkStart w:name="z91" w:id="83"/>
    <w:p>
      <w:pPr>
        <w:spacing w:after="0"/>
        <w:ind w:left="0"/>
        <w:jc w:val="both"/>
      </w:pPr>
      <w:r>
        <w:rPr>
          <w:rFonts w:ascii="Times New Roman"/>
          <w:b w:val="false"/>
          <w:i w:val="false"/>
          <w:color w:val="000000"/>
          <w:sz w:val="28"/>
        </w:rPr>
        <w:t>
      4) подача заявления на перевод разрешения в бумажной форме в электронный формат;</w:t>
      </w:r>
    </w:p>
    <w:bookmarkEnd w:id="83"/>
    <w:bookmarkStart w:name="z92" w:id="84"/>
    <w:p>
      <w:pPr>
        <w:spacing w:after="0"/>
        <w:ind w:left="0"/>
        <w:jc w:val="both"/>
      </w:pPr>
      <w:r>
        <w:rPr>
          <w:rFonts w:ascii="Times New Roman"/>
          <w:b w:val="false"/>
          <w:i w:val="false"/>
          <w:color w:val="000000"/>
          <w:sz w:val="28"/>
        </w:rPr>
        <w:t>
      5) подача заявлений на переоформление, продление, прекращение, приостановление, возобновление действия, корректировку сведений разрешения и (или) приложения к разрешению, предусмотренных законодательством в сфере государственных и социально ответственных услугах, а также конвертацию и восстановление разрешений;</w:t>
      </w:r>
    </w:p>
    <w:bookmarkEnd w:id="84"/>
    <w:bookmarkStart w:name="z93" w:id="85"/>
    <w:p>
      <w:pPr>
        <w:spacing w:after="0"/>
        <w:ind w:left="0"/>
        <w:jc w:val="both"/>
      </w:pPr>
      <w:r>
        <w:rPr>
          <w:rFonts w:ascii="Times New Roman"/>
          <w:b w:val="false"/>
          <w:i w:val="false"/>
          <w:color w:val="000000"/>
          <w:sz w:val="28"/>
        </w:rPr>
        <w:t>
      6) просмотр статуса рассмотрения заявлений, поданных заявителем;</w:t>
      </w:r>
    </w:p>
    <w:bookmarkEnd w:id="85"/>
    <w:bookmarkStart w:name="z94" w:id="86"/>
    <w:p>
      <w:pPr>
        <w:spacing w:after="0"/>
        <w:ind w:left="0"/>
        <w:jc w:val="both"/>
      </w:pPr>
      <w:r>
        <w:rPr>
          <w:rFonts w:ascii="Times New Roman"/>
          <w:b w:val="false"/>
          <w:i w:val="false"/>
          <w:color w:val="000000"/>
          <w:sz w:val="28"/>
        </w:rPr>
        <w:t>
      7) просмотр электронных извещений от государственных органов, направленных в ходе рассмотрения заявления, поданных заявителем (о необходимости явки на тестирование, предоставления дополнительных сведений по заявлению, оплаты лицензионного или разрешительного сбора и иные сведения);</w:t>
      </w:r>
    </w:p>
    <w:bookmarkEnd w:id="86"/>
    <w:bookmarkStart w:name="z95" w:id="87"/>
    <w:p>
      <w:pPr>
        <w:spacing w:after="0"/>
        <w:ind w:left="0"/>
        <w:jc w:val="both"/>
      </w:pPr>
      <w:r>
        <w:rPr>
          <w:rFonts w:ascii="Times New Roman"/>
          <w:b w:val="false"/>
          <w:i w:val="false"/>
          <w:color w:val="000000"/>
          <w:sz w:val="28"/>
        </w:rPr>
        <w:t>
      8) направление в электронной форме ответа на запрос разрешительного органа в процессе рассмотрения заявлений (предоставление дополнительных сведений по заявлению, подтверждение явки на тестирование, направление квитанции об оплате лицензионного или разрешительного сбора и иные действия);</w:t>
      </w:r>
    </w:p>
    <w:bookmarkEnd w:id="87"/>
    <w:bookmarkStart w:name="z96" w:id="88"/>
    <w:p>
      <w:pPr>
        <w:spacing w:after="0"/>
        <w:ind w:left="0"/>
        <w:jc w:val="both"/>
      </w:pPr>
      <w:r>
        <w:rPr>
          <w:rFonts w:ascii="Times New Roman"/>
          <w:b w:val="false"/>
          <w:i w:val="false"/>
          <w:color w:val="000000"/>
          <w:sz w:val="28"/>
        </w:rPr>
        <w:t>
      9) оплата лицензионных и разрешительных сборов посредством платежного шлюза "цифрового правительства" (в процессе подачи электронного заявления);</w:t>
      </w:r>
    </w:p>
    <w:bookmarkEnd w:id="88"/>
    <w:bookmarkStart w:name="z97" w:id="89"/>
    <w:p>
      <w:pPr>
        <w:spacing w:after="0"/>
        <w:ind w:left="0"/>
        <w:jc w:val="both"/>
      </w:pPr>
      <w:r>
        <w:rPr>
          <w:rFonts w:ascii="Times New Roman"/>
          <w:b w:val="false"/>
          <w:i w:val="false"/>
          <w:color w:val="000000"/>
          <w:sz w:val="28"/>
        </w:rPr>
        <w:t>
      10) просмотр электронных документов, выданных разрешительным органом по результатам рассмотрения заявлений;</w:t>
      </w:r>
    </w:p>
    <w:bookmarkEnd w:id="89"/>
    <w:bookmarkStart w:name="z98" w:id="90"/>
    <w:p>
      <w:pPr>
        <w:spacing w:after="0"/>
        <w:ind w:left="0"/>
        <w:jc w:val="both"/>
      </w:pPr>
      <w:r>
        <w:rPr>
          <w:rFonts w:ascii="Times New Roman"/>
          <w:b w:val="false"/>
          <w:i w:val="false"/>
          <w:color w:val="000000"/>
          <w:sz w:val="28"/>
        </w:rPr>
        <w:t>
      11) подача уведомления о начале деятельности;</w:t>
      </w:r>
    </w:p>
    <w:bookmarkEnd w:id="90"/>
    <w:bookmarkStart w:name="z99" w:id="91"/>
    <w:p>
      <w:pPr>
        <w:spacing w:after="0"/>
        <w:ind w:left="0"/>
        <w:jc w:val="both"/>
      </w:pPr>
      <w:r>
        <w:rPr>
          <w:rFonts w:ascii="Times New Roman"/>
          <w:b w:val="false"/>
          <w:i w:val="false"/>
          <w:color w:val="000000"/>
          <w:sz w:val="28"/>
        </w:rPr>
        <w:t>
      12) подача уведомлений о прекращении деятельности (действия), об изменении данных;</w:t>
      </w:r>
    </w:p>
    <w:bookmarkEnd w:id="91"/>
    <w:bookmarkStart w:name="z100" w:id="92"/>
    <w:p>
      <w:pPr>
        <w:spacing w:after="0"/>
        <w:ind w:left="0"/>
        <w:jc w:val="both"/>
      </w:pPr>
      <w:r>
        <w:rPr>
          <w:rFonts w:ascii="Times New Roman"/>
          <w:b w:val="false"/>
          <w:i w:val="false"/>
          <w:color w:val="000000"/>
          <w:sz w:val="28"/>
        </w:rPr>
        <w:t>
      13) просмотр электронных извещений от государственных органов, направленных в ходе ведения государственного цифрового реестра разрешений и уведомлений (о прекращении действия (аннулировании), приостановлении, возобновлении действия разрешения, об исключении субъекта из реестра субъектов, подавших уведомление, о приостановлении, возобновлении деятельности субъекта);</w:t>
      </w:r>
    </w:p>
    <w:bookmarkEnd w:id="92"/>
    <w:bookmarkStart w:name="z101" w:id="93"/>
    <w:p>
      <w:pPr>
        <w:spacing w:after="0"/>
        <w:ind w:left="0"/>
        <w:jc w:val="both"/>
      </w:pPr>
      <w:r>
        <w:rPr>
          <w:rFonts w:ascii="Times New Roman"/>
          <w:b w:val="false"/>
          <w:i w:val="false"/>
          <w:color w:val="000000"/>
          <w:sz w:val="28"/>
        </w:rPr>
        <w:t>
      14) отзыв заявления.</w:t>
      </w:r>
    </w:p>
    <w:bookmarkEnd w:id="93"/>
    <w:bookmarkStart w:name="z102" w:id="94"/>
    <w:p>
      <w:pPr>
        <w:spacing w:after="0"/>
        <w:ind w:left="0"/>
        <w:jc w:val="both"/>
      </w:pPr>
      <w:r>
        <w:rPr>
          <w:rFonts w:ascii="Times New Roman"/>
          <w:b w:val="false"/>
          <w:i w:val="false"/>
          <w:color w:val="000000"/>
          <w:sz w:val="28"/>
        </w:rPr>
        <w:t>
      13. Неавторизованным пользователям внешнего портала Системы предоставляется возможность использования следующих функций:</w:t>
      </w:r>
    </w:p>
    <w:bookmarkEnd w:id="94"/>
    <w:bookmarkStart w:name="z103" w:id="95"/>
    <w:p>
      <w:pPr>
        <w:spacing w:after="0"/>
        <w:ind w:left="0"/>
        <w:jc w:val="both"/>
      </w:pPr>
      <w:r>
        <w:rPr>
          <w:rFonts w:ascii="Times New Roman"/>
          <w:b w:val="false"/>
          <w:i w:val="false"/>
          <w:color w:val="000000"/>
          <w:sz w:val="28"/>
        </w:rPr>
        <w:t>
      1) поиск и просмотр сведений государственного цифрового реестра разрешений и уведомлений, находящихся в открытом доступе;</w:t>
      </w:r>
    </w:p>
    <w:bookmarkEnd w:id="95"/>
    <w:bookmarkStart w:name="z104" w:id="96"/>
    <w:p>
      <w:pPr>
        <w:spacing w:after="0"/>
        <w:ind w:left="0"/>
        <w:jc w:val="both"/>
      </w:pPr>
      <w:r>
        <w:rPr>
          <w:rFonts w:ascii="Times New Roman"/>
          <w:b w:val="false"/>
          <w:i w:val="false"/>
          <w:color w:val="000000"/>
          <w:sz w:val="28"/>
        </w:rPr>
        <w:t>
      2) просмотр информации об условиях получения разрешений и направления уведомлений.</w:t>
      </w:r>
    </w:p>
    <w:bookmarkEnd w:id="96"/>
    <w:bookmarkStart w:name="z105" w:id="97"/>
    <w:p>
      <w:pPr>
        <w:spacing w:after="0"/>
        <w:ind w:left="0"/>
        <w:jc w:val="both"/>
      </w:pPr>
      <w:r>
        <w:rPr>
          <w:rFonts w:ascii="Times New Roman"/>
          <w:b w:val="false"/>
          <w:i w:val="false"/>
          <w:color w:val="000000"/>
          <w:sz w:val="28"/>
        </w:rPr>
        <w:t>
      14. Для получения доступа к внутреннему порталу Системы государственный орган предоставляет уполномоченному органу в сфере цифровизации и Оператору информацию о лицах, ответственных за осуществление лицензирования, разрешительных процедур и уведомительного порядка. Оператор после получения данной информации в течение десяти рабочих дней создает учетные записи для обеспечения работы пользователей государственных органов с внутренним порталом Системы.</w:t>
      </w:r>
    </w:p>
    <w:bookmarkEnd w:id="97"/>
    <w:bookmarkStart w:name="z106" w:id="98"/>
    <w:p>
      <w:pPr>
        <w:spacing w:after="0"/>
        <w:ind w:left="0"/>
        <w:jc w:val="both"/>
      </w:pPr>
      <w:r>
        <w:rPr>
          <w:rFonts w:ascii="Times New Roman"/>
          <w:b w:val="false"/>
          <w:i w:val="false"/>
          <w:color w:val="000000"/>
          <w:sz w:val="28"/>
        </w:rPr>
        <w:t>
      15. Внутренний портал Системы предоставляет сотрудникам государственных органов следующие функции в пределах их полномочий (авторизация происходит с помощью логина, пароля и ЭЦП юридического лица, выданной на имя сотрудника разрешительного органа):</w:t>
      </w:r>
    </w:p>
    <w:bookmarkEnd w:id="98"/>
    <w:bookmarkStart w:name="z107" w:id="99"/>
    <w:p>
      <w:pPr>
        <w:spacing w:after="0"/>
        <w:ind w:left="0"/>
        <w:jc w:val="both"/>
      </w:pPr>
      <w:r>
        <w:rPr>
          <w:rFonts w:ascii="Times New Roman"/>
          <w:b w:val="false"/>
          <w:i w:val="false"/>
          <w:color w:val="000000"/>
          <w:sz w:val="28"/>
        </w:rPr>
        <w:t>
      1) поиск и просмотр сведений государственного цифрового реестра разрешений и уведомлений;</w:t>
      </w:r>
    </w:p>
    <w:bookmarkEnd w:id="99"/>
    <w:bookmarkStart w:name="z108" w:id="100"/>
    <w:p>
      <w:pPr>
        <w:spacing w:after="0"/>
        <w:ind w:left="0"/>
        <w:jc w:val="both"/>
      </w:pPr>
      <w:r>
        <w:rPr>
          <w:rFonts w:ascii="Times New Roman"/>
          <w:b w:val="false"/>
          <w:i w:val="false"/>
          <w:color w:val="000000"/>
          <w:sz w:val="28"/>
        </w:rPr>
        <w:t>
      2) внесение в Систему сведений по заявлениям, поступившим на бумажных носителях;</w:t>
      </w:r>
    </w:p>
    <w:bookmarkEnd w:id="100"/>
    <w:bookmarkStart w:name="z109" w:id="101"/>
    <w:p>
      <w:pPr>
        <w:spacing w:after="0"/>
        <w:ind w:left="0"/>
        <w:jc w:val="both"/>
      </w:pPr>
      <w:r>
        <w:rPr>
          <w:rFonts w:ascii="Times New Roman"/>
          <w:b w:val="false"/>
          <w:i w:val="false"/>
          <w:color w:val="000000"/>
          <w:sz w:val="28"/>
        </w:rPr>
        <w:t>
      3) регистрация и рассмотрение заявлений;</w:t>
      </w:r>
    </w:p>
    <w:bookmarkEnd w:id="101"/>
    <w:bookmarkStart w:name="z110" w:id="102"/>
    <w:p>
      <w:pPr>
        <w:spacing w:after="0"/>
        <w:ind w:left="0"/>
        <w:jc w:val="both"/>
      </w:pPr>
      <w:r>
        <w:rPr>
          <w:rFonts w:ascii="Times New Roman"/>
          <w:b w:val="false"/>
          <w:i w:val="false"/>
          <w:color w:val="000000"/>
          <w:sz w:val="28"/>
        </w:rPr>
        <w:t>
      4) поиск и просмотр заявлений;</w:t>
      </w:r>
    </w:p>
    <w:bookmarkEnd w:id="102"/>
    <w:bookmarkStart w:name="z111" w:id="103"/>
    <w:p>
      <w:pPr>
        <w:spacing w:after="0"/>
        <w:ind w:left="0"/>
        <w:jc w:val="both"/>
      </w:pPr>
      <w:r>
        <w:rPr>
          <w:rFonts w:ascii="Times New Roman"/>
          <w:b w:val="false"/>
          <w:i w:val="false"/>
          <w:color w:val="000000"/>
          <w:sz w:val="28"/>
        </w:rPr>
        <w:t>
      5) поиск и просмотр документов, формируемых в ходе рассмотрения заявлений (запрос дополнительных сведений от государственных органов; ответы заявителей на запрос дополнительных сведений государственных органов, мотивированных отказов в рассмотрении заявлений и выдаче разрешений первой и второй категории, согласований государственных органов, а также извещений о ходе рассмотрения заявления);</w:t>
      </w:r>
    </w:p>
    <w:bookmarkEnd w:id="103"/>
    <w:bookmarkStart w:name="z112" w:id="104"/>
    <w:p>
      <w:pPr>
        <w:spacing w:after="0"/>
        <w:ind w:left="0"/>
        <w:jc w:val="both"/>
      </w:pPr>
      <w:r>
        <w:rPr>
          <w:rFonts w:ascii="Times New Roman"/>
          <w:b w:val="false"/>
          <w:i w:val="false"/>
          <w:color w:val="000000"/>
          <w:sz w:val="28"/>
        </w:rPr>
        <w:t>
      6) внесение в реестр разрешений результатов процесса рассмотрения заявлений, осуществляемого вне Системы;</w:t>
      </w:r>
    </w:p>
    <w:bookmarkEnd w:id="104"/>
    <w:bookmarkStart w:name="z113" w:id="105"/>
    <w:p>
      <w:pPr>
        <w:spacing w:after="0"/>
        <w:ind w:left="0"/>
        <w:jc w:val="both"/>
      </w:pPr>
      <w:r>
        <w:rPr>
          <w:rFonts w:ascii="Times New Roman"/>
          <w:b w:val="false"/>
          <w:i w:val="false"/>
          <w:color w:val="000000"/>
          <w:sz w:val="28"/>
        </w:rPr>
        <w:t>
      7) восстановление исторических данных в период временного или постоянного отсутствия возможности ведения разрешительным органом государственного цифрового реестра разрешений и уведомлений с (без) конвертацией;</w:t>
      </w:r>
    </w:p>
    <w:bookmarkEnd w:id="105"/>
    <w:bookmarkStart w:name="z114" w:id="106"/>
    <w:p>
      <w:pPr>
        <w:spacing w:after="0"/>
        <w:ind w:left="0"/>
        <w:jc w:val="both"/>
      </w:pPr>
      <w:r>
        <w:rPr>
          <w:rFonts w:ascii="Times New Roman"/>
          <w:b w:val="false"/>
          <w:i w:val="false"/>
          <w:color w:val="000000"/>
          <w:sz w:val="28"/>
        </w:rPr>
        <w:t>
      8) выдача, переоформление, приостановление, аннулирование, продление, возобновление, прекращение действия разрешения и лишение (отзыв) разрешения или приложения к разрешению;</w:t>
      </w:r>
    </w:p>
    <w:bookmarkEnd w:id="106"/>
    <w:bookmarkStart w:name="z115" w:id="107"/>
    <w:p>
      <w:pPr>
        <w:spacing w:after="0"/>
        <w:ind w:left="0"/>
        <w:jc w:val="both"/>
      </w:pPr>
      <w:r>
        <w:rPr>
          <w:rFonts w:ascii="Times New Roman"/>
          <w:b w:val="false"/>
          <w:i w:val="false"/>
          <w:color w:val="000000"/>
          <w:sz w:val="28"/>
        </w:rPr>
        <w:t>
      9) наполнение реестра субъектов, подавших уведомление, историческими данными в период временного или постоянного отсутствия возможности ведения органом, осуществляющим уведомительный порядок, государственного цифрового реестра разрешений и уведомлений;</w:t>
      </w:r>
    </w:p>
    <w:bookmarkEnd w:id="107"/>
    <w:bookmarkStart w:name="z116" w:id="108"/>
    <w:p>
      <w:pPr>
        <w:spacing w:after="0"/>
        <w:ind w:left="0"/>
        <w:jc w:val="both"/>
      </w:pPr>
      <w:r>
        <w:rPr>
          <w:rFonts w:ascii="Times New Roman"/>
          <w:b w:val="false"/>
          <w:i w:val="false"/>
          <w:color w:val="000000"/>
          <w:sz w:val="28"/>
        </w:rPr>
        <w:t>
      10) исключение уведомления из государственного цифрового реестра разрешений и уведомлений, приостановление, возобновление деятельности субъекта, подавшего уведомление.</w:t>
      </w:r>
    </w:p>
    <w:bookmarkEnd w:id="108"/>
    <w:bookmarkStart w:name="z117" w:id="109"/>
    <w:p>
      <w:pPr>
        <w:spacing w:after="0"/>
        <w:ind w:left="0"/>
        <w:jc w:val="both"/>
      </w:pPr>
      <w:r>
        <w:rPr>
          <w:rFonts w:ascii="Times New Roman"/>
          <w:b w:val="false"/>
          <w:i w:val="false"/>
          <w:color w:val="000000"/>
          <w:sz w:val="28"/>
        </w:rPr>
        <w:t>
      16. Внешний и внутренний портал Системы доступны в круглосуточном режиме, за исключением технических перерывов, производимых в нерабочее время.</w:t>
      </w:r>
    </w:p>
    <w:bookmarkEnd w:id="109"/>
    <w:bookmarkStart w:name="z118" w:id="110"/>
    <w:p>
      <w:pPr>
        <w:spacing w:after="0"/>
        <w:ind w:left="0"/>
        <w:jc w:val="both"/>
      </w:pPr>
      <w:r>
        <w:rPr>
          <w:rFonts w:ascii="Times New Roman"/>
          <w:b w:val="false"/>
          <w:i w:val="false"/>
          <w:color w:val="000000"/>
          <w:sz w:val="28"/>
        </w:rPr>
        <w:t>
      17. Для осуществления функции автоматизации лицензирования, разрешительной процедуры и направления уведомления государственными органами в Системе формируются электронные извещения о приостановлении, возобновлении, прекращении (аннулировании, исключении) деятельности.</w:t>
      </w:r>
    </w:p>
    <w:bookmarkEnd w:id="110"/>
    <w:bookmarkStart w:name="z119" w:id="111"/>
    <w:p>
      <w:pPr>
        <w:spacing w:after="0"/>
        <w:ind w:left="0"/>
        <w:jc w:val="both"/>
      </w:pPr>
      <w:r>
        <w:rPr>
          <w:rFonts w:ascii="Times New Roman"/>
          <w:b w:val="false"/>
          <w:i w:val="false"/>
          <w:color w:val="000000"/>
          <w:sz w:val="28"/>
        </w:rPr>
        <w:t xml:space="preserve">
      18. Для государственных услуг, предусмотренных в перечне, утверждаемом уполномоченным органом в сфере цифровизации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цифрового развития, инноваций и аэрокосмической промышленности Республики Казахстан от 29 сентября 2022 года № 355/НҚ "Об утверждении Перечня разрешений, по которым проверка заявителя на соответствие квалификационным или разрешительным требованиям и выдача разрешения либо мотивированного отказа осуществляются в автоматическом режиме проверки заявителя и выдачи разрешения в государственной цифровой системе разрешений и уведомлений" (зарегистрирован в Реестре государственной регистрации нормативных правовых актов под №29901) рассмотрение заявлений осуществляется без участия сотрудников государственного органа - лицензиара.</w:t>
      </w:r>
    </w:p>
    <w:bookmarkEnd w:id="111"/>
    <w:bookmarkStart w:name="z120" w:id="112"/>
    <w:p>
      <w:pPr>
        <w:spacing w:after="0"/>
        <w:ind w:left="0"/>
        <w:jc w:val="both"/>
      </w:pPr>
      <w:r>
        <w:rPr>
          <w:rFonts w:ascii="Times New Roman"/>
          <w:b w:val="false"/>
          <w:i w:val="false"/>
          <w:color w:val="000000"/>
          <w:sz w:val="28"/>
        </w:rPr>
        <w:t>
      Система проводит необходимые проверки в автоматическом режиме и подписывает результат оказания услуги (разрешительный документ или мотивированный отказ) транспортной подписью, принадлежащей владельцу Системы (при условии внесения соответствующих изменений в нормативный правовой акт по оказанию государственных услуг).</w:t>
      </w:r>
    </w:p>
    <w:bookmarkEnd w:id="112"/>
    <w:bookmarkStart w:name="z121" w:id="113"/>
    <w:p>
      <w:pPr>
        <w:spacing w:after="0"/>
        <w:ind w:left="0"/>
        <w:jc w:val="left"/>
      </w:pPr>
      <w:r>
        <w:rPr>
          <w:rFonts w:ascii="Times New Roman"/>
          <w:b/>
          <w:i w:val="false"/>
          <w:color w:val="000000"/>
        </w:rPr>
        <w:t xml:space="preserve"> Параграф 2. Прием электронных заявлений в Системе</w:t>
      </w:r>
    </w:p>
    <w:bookmarkEnd w:id="113"/>
    <w:bookmarkStart w:name="z122" w:id="114"/>
    <w:p>
      <w:pPr>
        <w:spacing w:after="0"/>
        <w:ind w:left="0"/>
        <w:jc w:val="both"/>
      </w:pPr>
      <w:r>
        <w:rPr>
          <w:rFonts w:ascii="Times New Roman"/>
          <w:b w:val="false"/>
          <w:i w:val="false"/>
          <w:color w:val="000000"/>
          <w:sz w:val="28"/>
        </w:rPr>
        <w:t>
      19. Подача электронного заявления осуществляется авторизованным пользователем внешнего портала Системы путем заполнения электронной формы заявления и удостоверения ее ЭЦП.</w:t>
      </w:r>
    </w:p>
    <w:bookmarkEnd w:id="114"/>
    <w:bookmarkStart w:name="z123" w:id="115"/>
    <w:p>
      <w:pPr>
        <w:spacing w:after="0"/>
        <w:ind w:left="0"/>
        <w:jc w:val="both"/>
      </w:pPr>
      <w:r>
        <w:rPr>
          <w:rFonts w:ascii="Times New Roman"/>
          <w:b w:val="false"/>
          <w:i w:val="false"/>
          <w:color w:val="000000"/>
          <w:sz w:val="28"/>
        </w:rPr>
        <w:t>
      20. Присвоение электронному заявлению НИКАД производится Системой в момент удостоверения документа ЭЦП заявителя.</w:t>
      </w:r>
    </w:p>
    <w:bookmarkEnd w:id="115"/>
    <w:bookmarkStart w:name="z124" w:id="116"/>
    <w:p>
      <w:pPr>
        <w:spacing w:after="0"/>
        <w:ind w:left="0"/>
        <w:jc w:val="both"/>
      </w:pPr>
      <w:r>
        <w:rPr>
          <w:rFonts w:ascii="Times New Roman"/>
          <w:b w:val="false"/>
          <w:i w:val="false"/>
          <w:color w:val="000000"/>
          <w:sz w:val="28"/>
        </w:rPr>
        <w:t>
      21. В ходе подачи электронного заявления Система осуществляет следующие автоматизированные проверки:</w:t>
      </w:r>
    </w:p>
    <w:bookmarkEnd w:id="116"/>
    <w:bookmarkStart w:name="z125" w:id="117"/>
    <w:p>
      <w:pPr>
        <w:spacing w:after="0"/>
        <w:ind w:left="0"/>
        <w:jc w:val="both"/>
      </w:pPr>
      <w:r>
        <w:rPr>
          <w:rFonts w:ascii="Times New Roman"/>
          <w:b w:val="false"/>
          <w:i w:val="false"/>
          <w:color w:val="000000"/>
          <w:sz w:val="28"/>
        </w:rPr>
        <w:t>
      1) проверка наличия заявителя (представителя заявителя) в государственных базах данных физических и юридических лиц, в интегрированной налоговой цифровой системе;</w:t>
      </w:r>
    </w:p>
    <w:bookmarkEnd w:id="117"/>
    <w:bookmarkStart w:name="z126" w:id="118"/>
    <w:p>
      <w:pPr>
        <w:spacing w:after="0"/>
        <w:ind w:left="0"/>
        <w:jc w:val="both"/>
      </w:pPr>
      <w:r>
        <w:rPr>
          <w:rFonts w:ascii="Times New Roman"/>
          <w:b w:val="false"/>
          <w:i w:val="false"/>
          <w:color w:val="000000"/>
          <w:sz w:val="28"/>
        </w:rPr>
        <w:t>
      2) осуществление форматно–логического контроля электронной формы заявления (проверка корректности и полноты заполнения);</w:t>
      </w:r>
    </w:p>
    <w:bookmarkEnd w:id="118"/>
    <w:bookmarkStart w:name="z127" w:id="119"/>
    <w:p>
      <w:pPr>
        <w:spacing w:after="0"/>
        <w:ind w:left="0"/>
        <w:jc w:val="both"/>
      </w:pPr>
      <w:r>
        <w:rPr>
          <w:rFonts w:ascii="Times New Roman"/>
          <w:b w:val="false"/>
          <w:i w:val="false"/>
          <w:color w:val="000000"/>
          <w:sz w:val="28"/>
        </w:rPr>
        <w:t>
      3) проверка наличия в цифровых системах государственных органов данных, указываемых заявителем в электронной форме заявления;</w:t>
      </w:r>
    </w:p>
    <w:bookmarkEnd w:id="119"/>
    <w:bookmarkStart w:name="z128" w:id="120"/>
    <w:p>
      <w:pPr>
        <w:spacing w:after="0"/>
        <w:ind w:left="0"/>
        <w:jc w:val="both"/>
      </w:pPr>
      <w:r>
        <w:rPr>
          <w:rFonts w:ascii="Times New Roman"/>
          <w:b w:val="false"/>
          <w:i w:val="false"/>
          <w:color w:val="000000"/>
          <w:sz w:val="28"/>
        </w:rPr>
        <w:t>
      4) проверка наличия в государственном цифровом реестре разрешений и уведомлений сведений, указываемых заявителем в электронной форме заявления.</w:t>
      </w:r>
    </w:p>
    <w:bookmarkEnd w:id="120"/>
    <w:bookmarkStart w:name="z129" w:id="121"/>
    <w:p>
      <w:pPr>
        <w:spacing w:after="0"/>
        <w:ind w:left="0"/>
        <w:jc w:val="both"/>
      </w:pPr>
      <w:r>
        <w:rPr>
          <w:rFonts w:ascii="Times New Roman"/>
          <w:b w:val="false"/>
          <w:i w:val="false"/>
          <w:color w:val="000000"/>
          <w:sz w:val="28"/>
        </w:rPr>
        <w:t>
      22. В случае отрицательного результата автоматизированных проверок, определенных в пункте 22 настоящих Правил, Система не позволяет подачу электронного заявления, с выводом пользователю информационного сообщения, извещающего о причинах невозможности отправления электронного заявления.</w:t>
      </w:r>
    </w:p>
    <w:bookmarkEnd w:id="121"/>
    <w:bookmarkStart w:name="z130" w:id="122"/>
    <w:p>
      <w:pPr>
        <w:spacing w:after="0"/>
        <w:ind w:left="0"/>
        <w:jc w:val="both"/>
      </w:pPr>
      <w:r>
        <w:rPr>
          <w:rFonts w:ascii="Times New Roman"/>
          <w:b w:val="false"/>
          <w:i w:val="false"/>
          <w:color w:val="000000"/>
          <w:sz w:val="28"/>
        </w:rPr>
        <w:t>
      23. В случае положительного результата автоматизированных проверок, определенных в пункте 22 настоящих Правил, и удостоверения ЭЦП заявителя электронного заявления, в личный кабинет заявителя поступает извещение о регистрации его электронного заявления в Системе. При этом электронное заявление будет считаться принятым с момента регистрации его государственным органом в рабочее время с отправкой в личный кабинет заявителя уведомления, удостоверенного ЭЦП уполномоченного лица разрешительного органа. Регистрация электронного заявления государственным органом производится в течение одного рабочего дня.</w:t>
      </w:r>
    </w:p>
    <w:bookmarkEnd w:id="122"/>
    <w:bookmarkStart w:name="z131" w:id="123"/>
    <w:p>
      <w:pPr>
        <w:spacing w:after="0"/>
        <w:ind w:left="0"/>
        <w:jc w:val="both"/>
      </w:pPr>
      <w:r>
        <w:rPr>
          <w:rFonts w:ascii="Times New Roman"/>
          <w:b w:val="false"/>
          <w:i w:val="false"/>
          <w:color w:val="000000"/>
          <w:sz w:val="28"/>
        </w:rPr>
        <w:t>
      24. Система позволяет подачу электронных заявлений в круглосуточном режиме, без привязки к графику работы государственного органа.</w:t>
      </w:r>
    </w:p>
    <w:bookmarkEnd w:id="123"/>
    <w:bookmarkStart w:name="z132" w:id="124"/>
    <w:p>
      <w:pPr>
        <w:spacing w:after="0"/>
        <w:ind w:left="0"/>
        <w:jc w:val="left"/>
      </w:pPr>
      <w:r>
        <w:rPr>
          <w:rFonts w:ascii="Times New Roman"/>
          <w:b/>
          <w:i w:val="false"/>
          <w:color w:val="000000"/>
        </w:rPr>
        <w:t xml:space="preserve"> Параграф 3. Прием уведомлений в Системе</w:t>
      </w:r>
    </w:p>
    <w:bookmarkEnd w:id="124"/>
    <w:bookmarkStart w:name="z133" w:id="125"/>
    <w:p>
      <w:pPr>
        <w:spacing w:after="0"/>
        <w:ind w:left="0"/>
        <w:jc w:val="both"/>
      </w:pPr>
      <w:r>
        <w:rPr>
          <w:rFonts w:ascii="Times New Roman"/>
          <w:b w:val="false"/>
          <w:i w:val="false"/>
          <w:color w:val="000000"/>
          <w:sz w:val="28"/>
        </w:rPr>
        <w:t>
      25. Подача уведомлений осуществляется авторизованными пользователями внешнего портала Системы путем заполнения электронной формы уведомления и удостоверения ее ЭЦП.</w:t>
      </w:r>
    </w:p>
    <w:bookmarkEnd w:id="125"/>
    <w:bookmarkStart w:name="z134" w:id="126"/>
    <w:p>
      <w:pPr>
        <w:spacing w:after="0"/>
        <w:ind w:left="0"/>
        <w:jc w:val="both"/>
      </w:pPr>
      <w:r>
        <w:rPr>
          <w:rFonts w:ascii="Times New Roman"/>
          <w:b w:val="false"/>
          <w:i w:val="false"/>
          <w:color w:val="000000"/>
          <w:sz w:val="28"/>
        </w:rPr>
        <w:t>
      26. Присвоение уведомлению НИКАД производится Системой в момент удостоверения документа ЭЦП заявителя.</w:t>
      </w:r>
    </w:p>
    <w:bookmarkEnd w:id="126"/>
    <w:bookmarkStart w:name="z135" w:id="127"/>
    <w:p>
      <w:pPr>
        <w:spacing w:after="0"/>
        <w:ind w:left="0"/>
        <w:jc w:val="both"/>
      </w:pPr>
      <w:r>
        <w:rPr>
          <w:rFonts w:ascii="Times New Roman"/>
          <w:b w:val="false"/>
          <w:i w:val="false"/>
          <w:color w:val="000000"/>
          <w:sz w:val="28"/>
        </w:rPr>
        <w:t>
      27. В случае положительного результата автоматизированных проверок, определенных в пункте 22 настоящих Правил, и удостоверения уведомления ЭЦП заявителя уведомление поступает в разрешительный орган.</w:t>
      </w:r>
    </w:p>
    <w:bookmarkEnd w:id="127"/>
    <w:bookmarkStart w:name="z136" w:id="128"/>
    <w:p>
      <w:pPr>
        <w:spacing w:after="0"/>
        <w:ind w:left="0"/>
        <w:jc w:val="both"/>
      </w:pPr>
      <w:r>
        <w:rPr>
          <w:rFonts w:ascii="Times New Roman"/>
          <w:b w:val="false"/>
          <w:i w:val="false"/>
          <w:color w:val="000000"/>
          <w:sz w:val="28"/>
        </w:rPr>
        <w:t>
      28. Подача уведомлений в Системе осуществляется круглосуточно.</w:t>
      </w:r>
    </w:p>
    <w:bookmarkEnd w:id="128"/>
    <w:bookmarkStart w:name="z137" w:id="129"/>
    <w:p>
      <w:pPr>
        <w:spacing w:after="0"/>
        <w:ind w:left="0"/>
        <w:jc w:val="left"/>
      </w:pPr>
      <w:r>
        <w:rPr>
          <w:rFonts w:ascii="Times New Roman"/>
          <w:b/>
          <w:i w:val="false"/>
          <w:color w:val="000000"/>
        </w:rPr>
        <w:t xml:space="preserve"> Параграф 4. Внесение в Систему сведений по заявлениям в бумажной форме</w:t>
      </w:r>
    </w:p>
    <w:bookmarkEnd w:id="129"/>
    <w:bookmarkStart w:name="z138" w:id="130"/>
    <w:p>
      <w:pPr>
        <w:spacing w:after="0"/>
        <w:ind w:left="0"/>
        <w:jc w:val="both"/>
      </w:pPr>
      <w:r>
        <w:rPr>
          <w:rFonts w:ascii="Times New Roman"/>
          <w:b w:val="false"/>
          <w:i w:val="false"/>
          <w:color w:val="000000"/>
          <w:sz w:val="28"/>
        </w:rPr>
        <w:t xml:space="preserve">
      29. Для процессов лицензирования, разрешительной процедуры, осуществляемых разрешительными органами в электронном виде посредством внутреннего портала Системы, внесение в Систему сведений по заявлениям, представленным в бумажной форме, производится подразделением документационного обеспечения государственного органа. </w:t>
      </w:r>
    </w:p>
    <w:bookmarkEnd w:id="130"/>
    <w:bookmarkStart w:name="z139" w:id="131"/>
    <w:p>
      <w:pPr>
        <w:spacing w:after="0"/>
        <w:ind w:left="0"/>
        <w:jc w:val="both"/>
      </w:pPr>
      <w:r>
        <w:rPr>
          <w:rFonts w:ascii="Times New Roman"/>
          <w:b w:val="false"/>
          <w:i w:val="false"/>
          <w:color w:val="000000"/>
          <w:sz w:val="28"/>
        </w:rPr>
        <w:t>
      30. Заявление, вносимое в Систему сотрудником подразделения документационного обеспечения государственного органа посредством внутреннего портала Системы, не удостоверяется ЭЦП заявителя. В этом случае для заявителя уведомление о приеме заявления Системой не формируется. Присвоение заявлению НИКАД осуществляется Системой в момент регистрации заявления.</w:t>
      </w:r>
    </w:p>
    <w:bookmarkEnd w:id="131"/>
    <w:bookmarkStart w:name="z140" w:id="132"/>
    <w:p>
      <w:pPr>
        <w:spacing w:after="0"/>
        <w:ind w:left="0"/>
        <w:jc w:val="both"/>
      </w:pPr>
      <w:r>
        <w:rPr>
          <w:rFonts w:ascii="Times New Roman"/>
          <w:b w:val="false"/>
          <w:i w:val="false"/>
          <w:color w:val="000000"/>
          <w:sz w:val="28"/>
        </w:rPr>
        <w:t xml:space="preserve">
      31. В случае представления заявления в бумажной форме в Государственной корпорации, внесение в Систему сведений по заявлению осуществляется посредством цифровой Системы мониторинга оказания государственных услуг. </w:t>
      </w:r>
    </w:p>
    <w:bookmarkEnd w:id="132"/>
    <w:bookmarkStart w:name="z141" w:id="133"/>
    <w:p>
      <w:pPr>
        <w:spacing w:after="0"/>
        <w:ind w:left="0"/>
        <w:jc w:val="both"/>
      </w:pPr>
      <w:r>
        <w:rPr>
          <w:rFonts w:ascii="Times New Roman"/>
          <w:b w:val="false"/>
          <w:i w:val="false"/>
          <w:color w:val="000000"/>
          <w:sz w:val="28"/>
        </w:rPr>
        <w:t>
      32. Заявления, передаваемые в Систему посредством цифровой системы мониторинга оказания государственных услуг, заверяются ЭЦП сотрудника Государственной корпорации с письменного согласия заявителя.</w:t>
      </w:r>
    </w:p>
    <w:bookmarkEnd w:id="133"/>
    <w:bookmarkStart w:name="z142" w:id="134"/>
    <w:p>
      <w:pPr>
        <w:spacing w:after="0"/>
        <w:ind w:left="0"/>
        <w:jc w:val="both"/>
      </w:pPr>
      <w:r>
        <w:rPr>
          <w:rFonts w:ascii="Times New Roman"/>
          <w:b w:val="false"/>
          <w:i w:val="false"/>
          <w:color w:val="000000"/>
          <w:sz w:val="28"/>
        </w:rPr>
        <w:t>
      33. В случае подачи заявления в бумажной форме в Государственной корпорации, для заявителя уведомление о приеме заявления в Системе не формируется.</w:t>
      </w:r>
    </w:p>
    <w:bookmarkEnd w:id="134"/>
    <w:bookmarkStart w:name="z143" w:id="135"/>
    <w:p>
      <w:pPr>
        <w:spacing w:after="0"/>
        <w:ind w:left="0"/>
        <w:jc w:val="both"/>
      </w:pPr>
      <w:r>
        <w:rPr>
          <w:rFonts w:ascii="Times New Roman"/>
          <w:b w:val="false"/>
          <w:i w:val="false"/>
          <w:color w:val="000000"/>
          <w:sz w:val="28"/>
        </w:rPr>
        <w:t>
      34. Для процессов лицензирования, разрешительной процедуры, осуществляемых государственными органами в электронном виде посредством собственной цифровой системы, внесение в Систему сведений по заявлениям, представленным в государственный орган в бумажной форме, производится путем приема сведений, удостоверенных ЭЦП уполномоченного лица государственного органа, при условии интеграции указанной цифровой системы с Системой.</w:t>
      </w:r>
    </w:p>
    <w:bookmarkEnd w:id="135"/>
    <w:bookmarkStart w:name="z144" w:id="136"/>
    <w:p>
      <w:pPr>
        <w:spacing w:after="0"/>
        <w:ind w:left="0"/>
        <w:jc w:val="left"/>
      </w:pPr>
      <w:r>
        <w:rPr>
          <w:rFonts w:ascii="Times New Roman"/>
          <w:b/>
          <w:i w:val="false"/>
          <w:color w:val="000000"/>
        </w:rPr>
        <w:t xml:space="preserve"> Параграф 5. Рассмотрение заявлений в Системе разрешительными органами</w:t>
      </w:r>
    </w:p>
    <w:bookmarkEnd w:id="136"/>
    <w:bookmarkStart w:name="z145" w:id="137"/>
    <w:p>
      <w:pPr>
        <w:spacing w:after="0"/>
        <w:ind w:left="0"/>
        <w:jc w:val="both"/>
      </w:pPr>
      <w:r>
        <w:rPr>
          <w:rFonts w:ascii="Times New Roman"/>
          <w:b w:val="false"/>
          <w:i w:val="false"/>
          <w:color w:val="000000"/>
          <w:sz w:val="28"/>
        </w:rPr>
        <w:t>
      35. Система предоставляет типовые операции процессов рассмотрения разрешительными органами заявлений в ходе осуществления лицензирования, разрешительной процедуры в электронном виде посредством внутреннего портала Системы.</w:t>
      </w:r>
    </w:p>
    <w:bookmarkEnd w:id="137"/>
    <w:bookmarkStart w:name="z146" w:id="138"/>
    <w:p>
      <w:pPr>
        <w:spacing w:after="0"/>
        <w:ind w:left="0"/>
        <w:jc w:val="both"/>
      </w:pPr>
      <w:r>
        <w:rPr>
          <w:rFonts w:ascii="Times New Roman"/>
          <w:b w:val="false"/>
          <w:i w:val="false"/>
          <w:color w:val="000000"/>
          <w:sz w:val="28"/>
        </w:rPr>
        <w:t>
      36. Регистрация входящих заявлений и их передача в работу состоит из следующих операций:</w:t>
      </w:r>
    </w:p>
    <w:bookmarkEnd w:id="138"/>
    <w:bookmarkStart w:name="z147" w:id="139"/>
    <w:p>
      <w:pPr>
        <w:spacing w:after="0"/>
        <w:ind w:left="0"/>
        <w:jc w:val="both"/>
      </w:pPr>
      <w:r>
        <w:rPr>
          <w:rFonts w:ascii="Times New Roman"/>
          <w:b w:val="false"/>
          <w:i w:val="false"/>
          <w:color w:val="000000"/>
          <w:sz w:val="28"/>
        </w:rPr>
        <w:t>
      1) регистрация заявлений с автоматическим присвоением НИКАД;</w:t>
      </w:r>
    </w:p>
    <w:bookmarkEnd w:id="139"/>
    <w:bookmarkStart w:name="z148" w:id="140"/>
    <w:p>
      <w:pPr>
        <w:spacing w:after="0"/>
        <w:ind w:left="0"/>
        <w:jc w:val="both"/>
      </w:pPr>
      <w:r>
        <w:rPr>
          <w:rFonts w:ascii="Times New Roman"/>
          <w:b w:val="false"/>
          <w:i w:val="false"/>
          <w:color w:val="000000"/>
          <w:sz w:val="28"/>
        </w:rPr>
        <w:t>
      2) регистрация запросов государственным органам, уполномоченным на согласование выдачи разрешения;</w:t>
      </w:r>
    </w:p>
    <w:bookmarkEnd w:id="140"/>
    <w:bookmarkStart w:name="z149" w:id="141"/>
    <w:p>
      <w:pPr>
        <w:spacing w:after="0"/>
        <w:ind w:left="0"/>
        <w:jc w:val="both"/>
      </w:pPr>
      <w:r>
        <w:rPr>
          <w:rFonts w:ascii="Times New Roman"/>
          <w:b w:val="false"/>
          <w:i w:val="false"/>
          <w:color w:val="000000"/>
          <w:sz w:val="28"/>
        </w:rPr>
        <w:t>
      3) во внутреннем портале выдается документ о подтверждении приема при регистрации соответствующего заявления удостоверенный ЭЦП уполномоченного лица разрешительного органа.</w:t>
      </w:r>
    </w:p>
    <w:bookmarkEnd w:id="141"/>
    <w:bookmarkStart w:name="z150" w:id="142"/>
    <w:p>
      <w:pPr>
        <w:spacing w:after="0"/>
        <w:ind w:left="0"/>
        <w:jc w:val="both"/>
      </w:pPr>
      <w:r>
        <w:rPr>
          <w:rFonts w:ascii="Times New Roman"/>
          <w:b w:val="false"/>
          <w:i w:val="false"/>
          <w:color w:val="000000"/>
          <w:sz w:val="28"/>
        </w:rPr>
        <w:t>
      37. Направление документа представляет собой передачу входящего документа (заявления, запроса государственному органу, уполномоченному на согласование выдачи разрешения, входящего сообщения принимающего разрешительного органа) сотрудником подразделения документационного обеспечения уполномоченным лицам государственного органа. Направление входящего документа не включает дополнительных функций и осуществляется последовательно.</w:t>
      </w:r>
    </w:p>
    <w:bookmarkEnd w:id="142"/>
    <w:bookmarkStart w:name="z151" w:id="143"/>
    <w:p>
      <w:pPr>
        <w:spacing w:after="0"/>
        <w:ind w:left="0"/>
        <w:jc w:val="both"/>
      </w:pPr>
      <w:r>
        <w:rPr>
          <w:rFonts w:ascii="Times New Roman"/>
          <w:b w:val="false"/>
          <w:i w:val="false"/>
          <w:color w:val="000000"/>
          <w:sz w:val="28"/>
        </w:rPr>
        <w:t>
      38. Направление заявителю в ходе рассмотрения заявления извещений о необходимости явки в разрешительный орган, о приостановлении, возобновлении и продлении срока рассмотрения заявления состоит из следующих операций:</w:t>
      </w:r>
    </w:p>
    <w:bookmarkEnd w:id="143"/>
    <w:bookmarkStart w:name="z152" w:id="144"/>
    <w:p>
      <w:pPr>
        <w:spacing w:after="0"/>
        <w:ind w:left="0"/>
        <w:jc w:val="both"/>
      </w:pPr>
      <w:r>
        <w:rPr>
          <w:rFonts w:ascii="Times New Roman"/>
          <w:b w:val="false"/>
          <w:i w:val="false"/>
          <w:color w:val="000000"/>
          <w:sz w:val="28"/>
        </w:rPr>
        <w:t>
      1) формирование проекта извещения\запроса инициируется исполнителем в случаях, предусмотренных законодательством в сфере государственных и социально ответственных услуг;</w:t>
      </w:r>
    </w:p>
    <w:bookmarkEnd w:id="144"/>
    <w:bookmarkStart w:name="z153" w:id="145"/>
    <w:p>
      <w:pPr>
        <w:spacing w:after="0"/>
        <w:ind w:left="0"/>
        <w:jc w:val="both"/>
      </w:pPr>
      <w:r>
        <w:rPr>
          <w:rFonts w:ascii="Times New Roman"/>
          <w:b w:val="false"/>
          <w:i w:val="false"/>
          <w:color w:val="000000"/>
          <w:sz w:val="28"/>
        </w:rPr>
        <w:t>
      2) при инициации извещения\запроса заявителю исполнитель формирует проект извещения;</w:t>
      </w:r>
    </w:p>
    <w:bookmarkEnd w:id="145"/>
    <w:bookmarkStart w:name="z154" w:id="146"/>
    <w:p>
      <w:pPr>
        <w:spacing w:after="0"/>
        <w:ind w:left="0"/>
        <w:jc w:val="both"/>
      </w:pPr>
      <w:r>
        <w:rPr>
          <w:rFonts w:ascii="Times New Roman"/>
          <w:b w:val="false"/>
          <w:i w:val="false"/>
          <w:color w:val="000000"/>
          <w:sz w:val="28"/>
        </w:rPr>
        <w:t>
      3) проект извещения\запроса проходит процедуру согласования в разрешительном органе последовательно по восходящей цепочке;</w:t>
      </w:r>
    </w:p>
    <w:bookmarkEnd w:id="146"/>
    <w:bookmarkStart w:name="z155" w:id="147"/>
    <w:p>
      <w:pPr>
        <w:spacing w:after="0"/>
        <w:ind w:left="0"/>
        <w:jc w:val="both"/>
      </w:pPr>
      <w:r>
        <w:rPr>
          <w:rFonts w:ascii="Times New Roman"/>
          <w:b w:val="false"/>
          <w:i w:val="false"/>
          <w:color w:val="000000"/>
          <w:sz w:val="28"/>
        </w:rPr>
        <w:t>
      4) при положительном результате согласования проекта извещения\запроса участником процесса согласования, проект автоматически направляется следующему участнику. При отрицательном результате согласования проекта извещения участником процесса согласования, проект автоматически возвращается исполнителю на доработку;</w:t>
      </w:r>
    </w:p>
    <w:bookmarkEnd w:id="147"/>
    <w:bookmarkStart w:name="z156" w:id="148"/>
    <w:p>
      <w:pPr>
        <w:spacing w:after="0"/>
        <w:ind w:left="0"/>
        <w:jc w:val="both"/>
      </w:pPr>
      <w:r>
        <w:rPr>
          <w:rFonts w:ascii="Times New Roman"/>
          <w:b w:val="false"/>
          <w:i w:val="false"/>
          <w:color w:val="000000"/>
          <w:sz w:val="28"/>
        </w:rPr>
        <w:t>
      5) извещение\запрос удостоверяется ЭЦП руководителя (уполномоченного лица) разрешительного органа;</w:t>
      </w:r>
    </w:p>
    <w:bookmarkEnd w:id="148"/>
    <w:bookmarkStart w:name="z157" w:id="149"/>
    <w:p>
      <w:pPr>
        <w:spacing w:after="0"/>
        <w:ind w:left="0"/>
        <w:jc w:val="both"/>
      </w:pPr>
      <w:r>
        <w:rPr>
          <w:rFonts w:ascii="Times New Roman"/>
          <w:b w:val="false"/>
          <w:i w:val="false"/>
          <w:color w:val="000000"/>
          <w:sz w:val="28"/>
        </w:rPr>
        <w:t>
      6) в случае, если заявитель зарегистрирован на внешнем портале Системы, после подписания извещения\запроса оно становится доступно заявителю в личном кабинете;</w:t>
      </w:r>
    </w:p>
    <w:bookmarkEnd w:id="149"/>
    <w:bookmarkStart w:name="z158" w:id="150"/>
    <w:p>
      <w:pPr>
        <w:spacing w:after="0"/>
        <w:ind w:left="0"/>
        <w:jc w:val="both"/>
      </w:pPr>
      <w:r>
        <w:rPr>
          <w:rFonts w:ascii="Times New Roman"/>
          <w:b w:val="false"/>
          <w:i w:val="false"/>
          <w:color w:val="000000"/>
          <w:sz w:val="28"/>
        </w:rPr>
        <w:t>
      7) в случае, если заявление было представлено в разрешительный орган в бумажной форме, после подписания извещения\запроса в Системе руководителем, ответственный исполнитель распечатывает его и направляет заявителю вне Системы (по почте, нарочно);</w:t>
      </w:r>
    </w:p>
    <w:bookmarkEnd w:id="150"/>
    <w:bookmarkStart w:name="z159" w:id="151"/>
    <w:p>
      <w:pPr>
        <w:spacing w:after="0"/>
        <w:ind w:left="0"/>
        <w:jc w:val="both"/>
      </w:pPr>
      <w:r>
        <w:rPr>
          <w:rFonts w:ascii="Times New Roman"/>
          <w:b w:val="false"/>
          <w:i w:val="false"/>
          <w:color w:val="000000"/>
          <w:sz w:val="28"/>
        </w:rPr>
        <w:t>
      8) для заявлений, поданных в электронном виде посредством внешнего портала Системы, предоставление ответа на извещение\запрос осуществляется заявителем в электронном виде, с удостоверением сообщения ЭЦП. Электронный ответ поступает напрямую исполнителю;</w:t>
      </w:r>
    </w:p>
    <w:bookmarkEnd w:id="151"/>
    <w:bookmarkStart w:name="z160" w:id="152"/>
    <w:p>
      <w:pPr>
        <w:spacing w:after="0"/>
        <w:ind w:left="0"/>
        <w:jc w:val="both"/>
      </w:pPr>
      <w:r>
        <w:rPr>
          <w:rFonts w:ascii="Times New Roman"/>
          <w:b w:val="false"/>
          <w:i w:val="false"/>
          <w:color w:val="000000"/>
          <w:sz w:val="28"/>
        </w:rPr>
        <w:t>
      9) для заявлений, представленных в бумажной форме, ответ заявителю предоставляется вне Системы (по почте, нарочно). Внесение в Систему сведений из ответа заявителя производится исполнителем;</w:t>
      </w:r>
    </w:p>
    <w:bookmarkEnd w:id="152"/>
    <w:bookmarkStart w:name="z161" w:id="153"/>
    <w:p>
      <w:pPr>
        <w:spacing w:after="0"/>
        <w:ind w:left="0"/>
        <w:jc w:val="both"/>
      </w:pPr>
      <w:r>
        <w:rPr>
          <w:rFonts w:ascii="Times New Roman"/>
          <w:b w:val="false"/>
          <w:i w:val="false"/>
          <w:color w:val="000000"/>
          <w:sz w:val="28"/>
        </w:rPr>
        <w:t>
      10) исполнитель принимает решение по заявлению, в случае непредставления заявителем ответа в установленный срок.</w:t>
      </w:r>
    </w:p>
    <w:bookmarkEnd w:id="153"/>
    <w:bookmarkStart w:name="z162" w:id="154"/>
    <w:p>
      <w:pPr>
        <w:spacing w:after="0"/>
        <w:ind w:left="0"/>
        <w:jc w:val="both"/>
      </w:pPr>
      <w:r>
        <w:rPr>
          <w:rFonts w:ascii="Times New Roman"/>
          <w:b w:val="false"/>
          <w:i w:val="false"/>
          <w:color w:val="000000"/>
          <w:sz w:val="28"/>
        </w:rPr>
        <w:t>
      39. Направление в согласующий государственный орган заявлений о предоставлении заключения, дополнительных сведений и о согласовании проекта решения состоит из следующих операций:</w:t>
      </w:r>
    </w:p>
    <w:bookmarkEnd w:id="154"/>
    <w:bookmarkStart w:name="z163" w:id="155"/>
    <w:p>
      <w:pPr>
        <w:spacing w:after="0"/>
        <w:ind w:left="0"/>
        <w:jc w:val="both"/>
      </w:pPr>
      <w:r>
        <w:rPr>
          <w:rFonts w:ascii="Times New Roman"/>
          <w:b w:val="false"/>
          <w:i w:val="false"/>
          <w:color w:val="000000"/>
          <w:sz w:val="28"/>
        </w:rPr>
        <w:t>
      1) формирование проекта запроса государственным органам, уполномоченным на согласование выдачи разрешения, инициируется исполнителем в порядке, установленном статьей 25 Закона;</w:t>
      </w:r>
    </w:p>
    <w:bookmarkEnd w:id="155"/>
    <w:bookmarkStart w:name="z164" w:id="156"/>
    <w:p>
      <w:pPr>
        <w:spacing w:after="0"/>
        <w:ind w:left="0"/>
        <w:jc w:val="both"/>
      </w:pPr>
      <w:r>
        <w:rPr>
          <w:rFonts w:ascii="Times New Roman"/>
          <w:b w:val="false"/>
          <w:i w:val="false"/>
          <w:color w:val="000000"/>
          <w:sz w:val="28"/>
        </w:rPr>
        <w:t>
      2) проект запроса проходит процедуру согласования в разрешительном органе последовательно по восходящей цепочке;</w:t>
      </w:r>
    </w:p>
    <w:bookmarkEnd w:id="156"/>
    <w:bookmarkStart w:name="z165" w:id="157"/>
    <w:p>
      <w:pPr>
        <w:spacing w:after="0"/>
        <w:ind w:left="0"/>
        <w:jc w:val="both"/>
      </w:pPr>
      <w:r>
        <w:rPr>
          <w:rFonts w:ascii="Times New Roman"/>
          <w:b w:val="false"/>
          <w:i w:val="false"/>
          <w:color w:val="000000"/>
          <w:sz w:val="28"/>
        </w:rPr>
        <w:t>
      3) при положительном результате согласования проекта запроса, проект автоматически направляется следующему участнику процедуры согласования; при отрицательном результате согласования проекта запроса, проект автоматически возвращается исполнителю на доработку;</w:t>
      </w:r>
    </w:p>
    <w:bookmarkEnd w:id="157"/>
    <w:bookmarkStart w:name="z166" w:id="158"/>
    <w:p>
      <w:pPr>
        <w:spacing w:after="0"/>
        <w:ind w:left="0"/>
        <w:jc w:val="both"/>
      </w:pPr>
      <w:r>
        <w:rPr>
          <w:rFonts w:ascii="Times New Roman"/>
          <w:b w:val="false"/>
          <w:i w:val="false"/>
          <w:color w:val="000000"/>
          <w:sz w:val="28"/>
        </w:rPr>
        <w:t>
      4) запрос удостоверяется ЭЦП руководителя (уполномоченного лица) разрешительного органа, после чего поступает в подразделение документационного обеспечения согласующего органа для регистрации;</w:t>
      </w:r>
    </w:p>
    <w:bookmarkEnd w:id="158"/>
    <w:bookmarkStart w:name="z167" w:id="159"/>
    <w:p>
      <w:pPr>
        <w:spacing w:after="0"/>
        <w:ind w:left="0"/>
        <w:jc w:val="both"/>
      </w:pPr>
      <w:r>
        <w:rPr>
          <w:rFonts w:ascii="Times New Roman"/>
          <w:b w:val="false"/>
          <w:i w:val="false"/>
          <w:color w:val="000000"/>
          <w:sz w:val="28"/>
        </w:rPr>
        <w:t>
      5) в согласующем органе запрос последовательно направляется ответственному исполнителю по нисходящей цепочке;</w:t>
      </w:r>
    </w:p>
    <w:bookmarkEnd w:id="159"/>
    <w:bookmarkStart w:name="z168" w:id="160"/>
    <w:p>
      <w:pPr>
        <w:spacing w:after="0"/>
        <w:ind w:left="0"/>
        <w:jc w:val="both"/>
      </w:pPr>
      <w:r>
        <w:rPr>
          <w:rFonts w:ascii="Times New Roman"/>
          <w:b w:val="false"/>
          <w:i w:val="false"/>
          <w:color w:val="000000"/>
          <w:sz w:val="28"/>
        </w:rPr>
        <w:t>
      6) ответственный исполнитель согласующего органа формирует проект решения по запросу (экспертное заключение, ответ на запрос данных, согласование);</w:t>
      </w:r>
    </w:p>
    <w:bookmarkEnd w:id="160"/>
    <w:bookmarkStart w:name="z169" w:id="161"/>
    <w:p>
      <w:pPr>
        <w:spacing w:after="0"/>
        <w:ind w:left="0"/>
        <w:jc w:val="both"/>
      </w:pPr>
      <w:r>
        <w:rPr>
          <w:rFonts w:ascii="Times New Roman"/>
          <w:b w:val="false"/>
          <w:i w:val="false"/>
          <w:color w:val="000000"/>
          <w:sz w:val="28"/>
        </w:rPr>
        <w:t>
      7) проект решения по запросу проходит процедуру согласования последовательно;</w:t>
      </w:r>
    </w:p>
    <w:bookmarkEnd w:id="161"/>
    <w:bookmarkStart w:name="z170" w:id="162"/>
    <w:p>
      <w:pPr>
        <w:spacing w:after="0"/>
        <w:ind w:left="0"/>
        <w:jc w:val="both"/>
      </w:pPr>
      <w:r>
        <w:rPr>
          <w:rFonts w:ascii="Times New Roman"/>
          <w:b w:val="false"/>
          <w:i w:val="false"/>
          <w:color w:val="000000"/>
          <w:sz w:val="28"/>
        </w:rPr>
        <w:t>
      8) решение по запросу удостоверяется ЭЦП руководителем согласующего органа, после чего автоматически направляется исполнителю разрешительного органа;</w:t>
      </w:r>
    </w:p>
    <w:bookmarkEnd w:id="162"/>
    <w:bookmarkStart w:name="z171" w:id="163"/>
    <w:p>
      <w:pPr>
        <w:spacing w:after="0"/>
        <w:ind w:left="0"/>
        <w:jc w:val="both"/>
      </w:pPr>
      <w:r>
        <w:rPr>
          <w:rFonts w:ascii="Times New Roman"/>
          <w:b w:val="false"/>
          <w:i w:val="false"/>
          <w:color w:val="000000"/>
          <w:sz w:val="28"/>
        </w:rPr>
        <w:t>
      9) в случаях, предусмотренных законодательством в сфере государственных и социально ответственных услуг, исполнитель может инициировать приостановление срока рассмотрения заявления при запросе у заявителя дополнительных сведений или при направлении запроса согласующему органу;</w:t>
      </w:r>
    </w:p>
    <w:bookmarkEnd w:id="163"/>
    <w:bookmarkStart w:name="z172" w:id="164"/>
    <w:p>
      <w:pPr>
        <w:spacing w:after="0"/>
        <w:ind w:left="0"/>
        <w:jc w:val="both"/>
      </w:pPr>
      <w:r>
        <w:rPr>
          <w:rFonts w:ascii="Times New Roman"/>
          <w:b w:val="false"/>
          <w:i w:val="false"/>
          <w:color w:val="000000"/>
          <w:sz w:val="28"/>
        </w:rPr>
        <w:t>
      10) при приостановлении по причине запроса данных у согласующего органа заявителю в обязательном порядке направляется извещение, удостоверенное ЭЦП руководителя разрешительного органа, в момент начала приостановления и в момент возобновления срока рассмотрения заявления.</w:t>
      </w:r>
    </w:p>
    <w:bookmarkEnd w:id="164"/>
    <w:bookmarkStart w:name="z173" w:id="165"/>
    <w:p>
      <w:pPr>
        <w:spacing w:after="0"/>
        <w:ind w:left="0"/>
        <w:jc w:val="both"/>
      </w:pPr>
      <w:r>
        <w:rPr>
          <w:rFonts w:ascii="Times New Roman"/>
          <w:b w:val="false"/>
          <w:i w:val="false"/>
          <w:color w:val="000000"/>
          <w:sz w:val="28"/>
        </w:rPr>
        <w:t>
      40. Принятие решения по заявлению состоит из следующих операций:</w:t>
      </w:r>
    </w:p>
    <w:bookmarkEnd w:id="165"/>
    <w:bookmarkStart w:name="z174" w:id="166"/>
    <w:p>
      <w:pPr>
        <w:spacing w:after="0"/>
        <w:ind w:left="0"/>
        <w:jc w:val="both"/>
      </w:pPr>
      <w:r>
        <w:rPr>
          <w:rFonts w:ascii="Times New Roman"/>
          <w:b w:val="false"/>
          <w:i w:val="false"/>
          <w:color w:val="000000"/>
          <w:sz w:val="28"/>
        </w:rPr>
        <w:t>
      1) проект решения по заявлению формируется исполнителем;</w:t>
      </w:r>
    </w:p>
    <w:bookmarkEnd w:id="166"/>
    <w:bookmarkStart w:name="z175" w:id="167"/>
    <w:p>
      <w:pPr>
        <w:spacing w:after="0"/>
        <w:ind w:left="0"/>
        <w:jc w:val="both"/>
      </w:pPr>
      <w:r>
        <w:rPr>
          <w:rFonts w:ascii="Times New Roman"/>
          <w:b w:val="false"/>
          <w:i w:val="false"/>
          <w:color w:val="000000"/>
          <w:sz w:val="28"/>
        </w:rPr>
        <w:t xml:space="preserve">
      2) проект решения подлежит согласованию в разрешительном органе последовательно. При положительном согласовании проекта решения участником процесса согласования, он переходит следующему участнику; </w:t>
      </w:r>
    </w:p>
    <w:bookmarkEnd w:id="167"/>
    <w:bookmarkStart w:name="z176" w:id="168"/>
    <w:p>
      <w:pPr>
        <w:spacing w:after="0"/>
        <w:ind w:left="0"/>
        <w:jc w:val="both"/>
      </w:pPr>
      <w:r>
        <w:rPr>
          <w:rFonts w:ascii="Times New Roman"/>
          <w:b w:val="false"/>
          <w:i w:val="false"/>
          <w:color w:val="000000"/>
          <w:sz w:val="28"/>
        </w:rPr>
        <w:t>
      3) при возврате участником процесса согласования проекта решения на доработку, проект возвращается исполнителю на доработку;</w:t>
      </w:r>
    </w:p>
    <w:bookmarkEnd w:id="168"/>
    <w:bookmarkStart w:name="z177" w:id="169"/>
    <w:p>
      <w:pPr>
        <w:spacing w:after="0"/>
        <w:ind w:left="0"/>
        <w:jc w:val="both"/>
      </w:pPr>
      <w:r>
        <w:rPr>
          <w:rFonts w:ascii="Times New Roman"/>
          <w:b w:val="false"/>
          <w:i w:val="false"/>
          <w:color w:val="000000"/>
          <w:sz w:val="28"/>
        </w:rPr>
        <w:t>
      4) в случае если заявитель зарегистрирован на внешнем портале Системы, после подписания решения руководителем разрешительного органа, оно автоматически доступно в личном кабинете заявителя. Если заявление представлено разрешительному органу в бумажной форме, после удостоверения ЭЦП решения в Системе руководителем разрешительного органа, ответственный исполнитель распечатывает его и направляет заявителю вне Системы (по почте, нарочно).</w:t>
      </w:r>
    </w:p>
    <w:bookmarkEnd w:id="169"/>
    <w:bookmarkStart w:name="z178" w:id="170"/>
    <w:p>
      <w:pPr>
        <w:spacing w:after="0"/>
        <w:ind w:left="0"/>
        <w:jc w:val="both"/>
      </w:pPr>
      <w:r>
        <w:rPr>
          <w:rFonts w:ascii="Times New Roman"/>
          <w:b w:val="false"/>
          <w:i w:val="false"/>
          <w:color w:val="000000"/>
          <w:sz w:val="28"/>
        </w:rPr>
        <w:t>
      41. Продление срока рассмотрения заявления состоит из следующих операций:</w:t>
      </w:r>
    </w:p>
    <w:bookmarkEnd w:id="170"/>
    <w:bookmarkStart w:name="z179" w:id="171"/>
    <w:p>
      <w:pPr>
        <w:spacing w:after="0"/>
        <w:ind w:left="0"/>
        <w:jc w:val="both"/>
      </w:pPr>
      <w:r>
        <w:rPr>
          <w:rFonts w:ascii="Times New Roman"/>
          <w:b w:val="false"/>
          <w:i w:val="false"/>
          <w:color w:val="000000"/>
          <w:sz w:val="28"/>
        </w:rPr>
        <w:t>
      1) инициирование продления срока рассмотрения заявления в случаях, предусмотренных в подзаконных нормативных правовых актах, определяющих порядок оказания государственных услуг;</w:t>
      </w:r>
    </w:p>
    <w:bookmarkEnd w:id="171"/>
    <w:bookmarkStart w:name="z180" w:id="172"/>
    <w:p>
      <w:pPr>
        <w:spacing w:after="0"/>
        <w:ind w:left="0"/>
        <w:jc w:val="both"/>
      </w:pPr>
      <w:r>
        <w:rPr>
          <w:rFonts w:ascii="Times New Roman"/>
          <w:b w:val="false"/>
          <w:i w:val="false"/>
          <w:color w:val="000000"/>
          <w:sz w:val="28"/>
        </w:rPr>
        <w:t>
      2) направление заявителю извещения, удостоверенного ЭЦП руководителя разрешительного органа, с указанием нового срока завершения рассмотрения заявления.</w:t>
      </w:r>
    </w:p>
    <w:bookmarkEnd w:id="172"/>
    <w:bookmarkStart w:name="z181" w:id="173"/>
    <w:p>
      <w:pPr>
        <w:spacing w:after="0"/>
        <w:ind w:left="0"/>
        <w:jc w:val="both"/>
      </w:pPr>
      <w:r>
        <w:rPr>
          <w:rFonts w:ascii="Times New Roman"/>
          <w:b w:val="false"/>
          <w:i w:val="false"/>
          <w:color w:val="000000"/>
          <w:sz w:val="28"/>
        </w:rPr>
        <w:t>
      42. Отзыв заявления заявителем состоит из следующих операций:</w:t>
      </w:r>
    </w:p>
    <w:bookmarkEnd w:id="173"/>
    <w:bookmarkStart w:name="z182" w:id="174"/>
    <w:p>
      <w:pPr>
        <w:spacing w:after="0"/>
        <w:ind w:left="0"/>
        <w:jc w:val="both"/>
      </w:pPr>
      <w:r>
        <w:rPr>
          <w:rFonts w:ascii="Times New Roman"/>
          <w:b w:val="false"/>
          <w:i w:val="false"/>
          <w:color w:val="000000"/>
          <w:sz w:val="28"/>
        </w:rPr>
        <w:t>
      1) если процесс рассмотрения заявления еще не завершен, заявитель может инициировать процесс отзыва заявления;</w:t>
      </w:r>
    </w:p>
    <w:bookmarkEnd w:id="174"/>
    <w:bookmarkStart w:name="z183" w:id="175"/>
    <w:p>
      <w:pPr>
        <w:spacing w:after="0"/>
        <w:ind w:left="0"/>
        <w:jc w:val="both"/>
      </w:pPr>
      <w:r>
        <w:rPr>
          <w:rFonts w:ascii="Times New Roman"/>
          <w:b w:val="false"/>
          <w:i w:val="false"/>
          <w:color w:val="000000"/>
          <w:sz w:val="28"/>
        </w:rPr>
        <w:t>
      2) фиксация факта отзыва заявления заявителем в Системе производится исполнителем по заявлению, при этом дальнейшее рассмотрение заявления прекращается;</w:t>
      </w:r>
    </w:p>
    <w:bookmarkEnd w:id="175"/>
    <w:bookmarkStart w:name="z184" w:id="176"/>
    <w:p>
      <w:pPr>
        <w:spacing w:after="0"/>
        <w:ind w:left="0"/>
        <w:jc w:val="both"/>
      </w:pPr>
      <w:r>
        <w:rPr>
          <w:rFonts w:ascii="Times New Roman"/>
          <w:b w:val="false"/>
          <w:i w:val="false"/>
          <w:color w:val="000000"/>
          <w:sz w:val="28"/>
        </w:rPr>
        <w:t>
      3) если заявление формируется на внутреннем портале Системы, отзыв заявления производится исполнителем по заявлению Заявителя с фиксацией данного заявления в Системе.</w:t>
      </w:r>
    </w:p>
    <w:bookmarkEnd w:id="176"/>
    <w:bookmarkStart w:name="z185" w:id="177"/>
    <w:p>
      <w:pPr>
        <w:spacing w:after="0"/>
        <w:ind w:left="0"/>
        <w:jc w:val="both"/>
      </w:pPr>
      <w:r>
        <w:rPr>
          <w:rFonts w:ascii="Times New Roman"/>
          <w:b w:val="false"/>
          <w:i w:val="false"/>
          <w:color w:val="000000"/>
          <w:sz w:val="28"/>
        </w:rPr>
        <w:t>
      43. Не автоматизируются посредством внутреннего портала Системы следующие операции процесса рассмотрения заявлений, которые осуществляются вне Системы:</w:t>
      </w:r>
    </w:p>
    <w:bookmarkEnd w:id="177"/>
    <w:bookmarkStart w:name="z186" w:id="178"/>
    <w:p>
      <w:pPr>
        <w:spacing w:after="0"/>
        <w:ind w:left="0"/>
        <w:jc w:val="both"/>
      </w:pPr>
      <w:r>
        <w:rPr>
          <w:rFonts w:ascii="Times New Roman"/>
          <w:b w:val="false"/>
          <w:i w:val="false"/>
          <w:color w:val="000000"/>
          <w:sz w:val="28"/>
        </w:rPr>
        <w:t>
      1) направление заявления на экспертное заключение внутренним структурным подразделениям разрешительного органа;</w:t>
      </w:r>
    </w:p>
    <w:bookmarkEnd w:id="178"/>
    <w:bookmarkStart w:name="z187" w:id="179"/>
    <w:p>
      <w:pPr>
        <w:spacing w:after="0"/>
        <w:ind w:left="0"/>
        <w:jc w:val="both"/>
      </w:pPr>
      <w:r>
        <w:rPr>
          <w:rFonts w:ascii="Times New Roman"/>
          <w:b w:val="false"/>
          <w:i w:val="false"/>
          <w:color w:val="000000"/>
          <w:sz w:val="28"/>
        </w:rPr>
        <w:t>
      2) направление запроса на предоставление дополнительных сведений по заявлению внутренним структурным подразделениям разрешительного органа.</w:t>
      </w:r>
    </w:p>
    <w:bookmarkEnd w:id="179"/>
    <w:bookmarkStart w:name="z188" w:id="180"/>
    <w:p>
      <w:pPr>
        <w:spacing w:after="0"/>
        <w:ind w:left="0"/>
        <w:jc w:val="both"/>
      </w:pPr>
      <w:r>
        <w:rPr>
          <w:rFonts w:ascii="Times New Roman"/>
          <w:b w:val="false"/>
          <w:i w:val="false"/>
          <w:color w:val="000000"/>
          <w:sz w:val="28"/>
        </w:rPr>
        <w:t>
      44. Удостоверения ЭЦП документов, формируемых в ходе рассмотрения заявления, осуществляется руководителем (уполномоченным лицом) разрешительного органа посредством ЭЦП юридического лица, выданной на имя руководителя (уполномоченного лица) разрешительного органа.</w:t>
      </w:r>
    </w:p>
    <w:bookmarkEnd w:id="180"/>
    <w:bookmarkStart w:name="z189" w:id="181"/>
    <w:p>
      <w:pPr>
        <w:spacing w:after="0"/>
        <w:ind w:left="0"/>
        <w:jc w:val="both"/>
      </w:pPr>
      <w:r>
        <w:rPr>
          <w:rFonts w:ascii="Times New Roman"/>
          <w:b w:val="false"/>
          <w:i w:val="false"/>
          <w:color w:val="000000"/>
          <w:sz w:val="28"/>
        </w:rPr>
        <w:t>
      45. Не автоматизируются и подлежат осуществлению вне Системы коллегиальные действия в ходе рассмотрения заявления (заседания комиссий, тестирование, голосование и иные действия), а также действия, производимые организациями, не относящимися к государственным органам.</w:t>
      </w:r>
    </w:p>
    <w:bookmarkEnd w:id="181"/>
    <w:bookmarkStart w:name="z190" w:id="182"/>
    <w:p>
      <w:pPr>
        <w:spacing w:after="0"/>
        <w:ind w:left="0"/>
        <w:jc w:val="left"/>
      </w:pPr>
      <w:r>
        <w:rPr>
          <w:rFonts w:ascii="Times New Roman"/>
          <w:b/>
          <w:i w:val="false"/>
          <w:color w:val="000000"/>
        </w:rPr>
        <w:t xml:space="preserve"> Параграф 6. Взаимодействие цифровых систем государственных органов с Системой в процессе рассмотрения заявлений</w:t>
      </w:r>
    </w:p>
    <w:bookmarkEnd w:id="182"/>
    <w:bookmarkStart w:name="z191" w:id="183"/>
    <w:p>
      <w:pPr>
        <w:spacing w:after="0"/>
        <w:ind w:left="0"/>
        <w:jc w:val="both"/>
      </w:pPr>
      <w:r>
        <w:rPr>
          <w:rFonts w:ascii="Times New Roman"/>
          <w:b w:val="false"/>
          <w:i w:val="false"/>
          <w:color w:val="000000"/>
          <w:sz w:val="28"/>
        </w:rPr>
        <w:t>
      46. Все заявления, извещения, решения по заявлению, формируемые в рамках осуществления разрешительной процедуры, подлежат регистрации в Системе. В случае если указанные документы формируются в цифровой системе государственного органа, они подлежат обязательной передаче в Систему после подписания ответственным сотрудником разрешительного органа. При этом до подписания и передачи документа цифровая система государственного органа осуществляет запрос в Систему для присвоения НИКАД.</w:t>
      </w:r>
    </w:p>
    <w:bookmarkEnd w:id="183"/>
    <w:bookmarkStart w:name="z192" w:id="184"/>
    <w:p>
      <w:pPr>
        <w:spacing w:after="0"/>
        <w:ind w:left="0"/>
        <w:jc w:val="both"/>
      </w:pPr>
      <w:r>
        <w:rPr>
          <w:rFonts w:ascii="Times New Roman"/>
          <w:b w:val="false"/>
          <w:i w:val="false"/>
          <w:color w:val="000000"/>
          <w:sz w:val="28"/>
        </w:rPr>
        <w:t>
      47. Все взаимодействия цифровых систем государственных органов с Системой в ходе осуществления лицензирования, разрешительной и уведомительной процедуры в электронном виде определяются в соответствии с законодательством Республики Казахстан в сфере цифровизации.</w:t>
      </w:r>
    </w:p>
    <w:bookmarkEnd w:id="184"/>
    <w:bookmarkStart w:name="z193" w:id="185"/>
    <w:p>
      <w:pPr>
        <w:spacing w:after="0"/>
        <w:ind w:left="0"/>
        <w:jc w:val="left"/>
      </w:pPr>
      <w:r>
        <w:rPr>
          <w:rFonts w:ascii="Times New Roman"/>
          <w:b/>
          <w:i w:val="false"/>
          <w:color w:val="000000"/>
        </w:rPr>
        <w:t xml:space="preserve"> Параграф 7. Внесение сведений о выданном разрешении в реестр разрешений</w:t>
      </w:r>
    </w:p>
    <w:bookmarkEnd w:id="185"/>
    <w:bookmarkStart w:name="z194" w:id="186"/>
    <w:p>
      <w:pPr>
        <w:spacing w:after="0"/>
        <w:ind w:left="0"/>
        <w:jc w:val="both"/>
      </w:pPr>
      <w:r>
        <w:rPr>
          <w:rFonts w:ascii="Times New Roman"/>
          <w:b w:val="false"/>
          <w:i w:val="false"/>
          <w:color w:val="000000"/>
          <w:sz w:val="28"/>
        </w:rPr>
        <w:t xml:space="preserve">
      48. Для разрешительных процедур, в рамках которых автоматизация процессов регистрации и рассмотрения заявления по разным причинам не представляется возможной или нецелесообразной, Система предусматривает функционал по внесению в реестр разрешений положительных результатов рассмотрения заявлений, осуществляемый вне Системы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цифрового развития, инноваций и аэрокосмической промышленности Республики Казахстан от 29 сентября 2022 года № 355/НҚ "Об утверждении Перечня разрешений, по которым проверка заявителя на соответствие квалификационным или разрешительным требованиям и выдача разрешения либо мотивированного отказа осуществляются в автоматическом режиме проверки заявителя и выдачи разрешения в государственной цифровой системе разрешений и уведомлений" (зарегистрирован в Реестре государственной регистрации нормативных правовых актов под №29901).</w:t>
      </w:r>
    </w:p>
    <w:bookmarkEnd w:id="186"/>
    <w:bookmarkStart w:name="z195" w:id="187"/>
    <w:p>
      <w:pPr>
        <w:spacing w:after="0"/>
        <w:ind w:left="0"/>
        <w:jc w:val="both"/>
      </w:pPr>
      <w:r>
        <w:rPr>
          <w:rFonts w:ascii="Times New Roman"/>
          <w:b w:val="false"/>
          <w:i w:val="false"/>
          <w:color w:val="000000"/>
          <w:sz w:val="28"/>
        </w:rPr>
        <w:t>
      49. Сведения о положительных результатах рассмотрения заявлений при внесении в реестр разрешений удостоверяются ЭЦП руководителя (уполномоченного лица) разрешительного органа посредством юридического лица, выданной на имя руководителя (уполномоченного лица) разрешительного органа.</w:t>
      </w:r>
    </w:p>
    <w:bookmarkEnd w:id="187"/>
    <w:bookmarkStart w:name="z196" w:id="188"/>
    <w:p>
      <w:pPr>
        <w:spacing w:after="0"/>
        <w:ind w:left="0"/>
        <w:jc w:val="both"/>
      </w:pPr>
      <w:r>
        <w:rPr>
          <w:rFonts w:ascii="Times New Roman"/>
          <w:b w:val="false"/>
          <w:i w:val="false"/>
          <w:color w:val="000000"/>
          <w:sz w:val="28"/>
        </w:rPr>
        <w:t xml:space="preserve">
      50. При прекращении деятельности физического лица, в случае, предусмотренном </w:t>
      </w:r>
      <w:r>
        <w:rPr>
          <w:rFonts w:ascii="Times New Roman"/>
          <w:b w:val="false"/>
          <w:i w:val="false"/>
          <w:color w:val="000000"/>
          <w:sz w:val="28"/>
        </w:rPr>
        <w:t>пунктом 2</w:t>
      </w:r>
      <w:r>
        <w:rPr>
          <w:rFonts w:ascii="Times New Roman"/>
          <w:b w:val="false"/>
          <w:i w:val="false"/>
          <w:color w:val="000000"/>
          <w:sz w:val="28"/>
        </w:rPr>
        <w:t xml:space="preserve"> статьи 13 Гражданского кодекса Республики Казахстан, направляется уведомление о смерти физического лица из государственных базы данных в Систему.</w:t>
      </w:r>
    </w:p>
    <w:bookmarkEnd w:id="188"/>
    <w:bookmarkStart w:name="z197" w:id="189"/>
    <w:p>
      <w:pPr>
        <w:spacing w:after="0"/>
        <w:ind w:left="0"/>
        <w:jc w:val="both"/>
      </w:pPr>
      <w:r>
        <w:rPr>
          <w:rFonts w:ascii="Times New Roman"/>
          <w:b w:val="false"/>
          <w:i w:val="false"/>
          <w:color w:val="000000"/>
          <w:sz w:val="28"/>
        </w:rPr>
        <w:t>
      После получения уведомления Система автоматически аннулирует разрешения и уведомления на физическое лицо, указанное в части первой настоящего пункта.</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функционирования</w:t>
            </w:r>
            <w:r>
              <w:br/>
            </w:r>
            <w:r>
              <w:rPr>
                <w:rFonts w:ascii="Times New Roman"/>
                <w:b w:val="false"/>
                <w:i w:val="false"/>
                <w:color w:val="000000"/>
                <w:sz w:val="20"/>
              </w:rPr>
              <w:t>государственной цифровой</w:t>
            </w:r>
            <w:r>
              <w:br/>
            </w:r>
            <w:r>
              <w:rPr>
                <w:rFonts w:ascii="Times New Roman"/>
                <w:b w:val="false"/>
                <w:i w:val="false"/>
                <w:color w:val="000000"/>
                <w:sz w:val="20"/>
              </w:rPr>
              <w:t>системы разрешений и уведомлений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1" w:id="190"/>
    <w:p>
      <w:pPr>
        <w:spacing w:after="0"/>
        <w:ind w:left="0"/>
        <w:jc w:val="left"/>
      </w:pPr>
      <w:r>
        <w:rPr>
          <w:rFonts w:ascii="Times New Roman"/>
          <w:b/>
          <w:i w:val="false"/>
          <w:color w:val="000000"/>
        </w:rPr>
        <w:t xml:space="preserve"> Формирование номера и кода административного документа</w:t>
      </w:r>
    </w:p>
    <w:bookmarkEnd w:id="190"/>
    <w:bookmarkStart w:name="z202" w:id="191"/>
    <w:p>
      <w:pPr>
        <w:spacing w:after="0"/>
        <w:ind w:left="0"/>
        <w:jc w:val="both"/>
      </w:pPr>
      <w:r>
        <w:rPr>
          <w:rFonts w:ascii="Times New Roman"/>
          <w:b w:val="false"/>
          <w:i w:val="false"/>
          <w:color w:val="000000"/>
          <w:sz w:val="28"/>
        </w:rPr>
        <w:t>
      Все номера и коды административного документа имеют одинаковую структуру</w:t>
      </w:r>
    </w:p>
    <w:bookmarkEnd w:id="191"/>
    <w:bookmarkStart w:name="z203" w:id="192"/>
    <w:p>
      <w:pPr>
        <w:spacing w:after="0"/>
        <w:ind w:left="0"/>
        <w:jc w:val="both"/>
      </w:pPr>
      <w:r>
        <w:rPr>
          <w:rFonts w:ascii="Times New Roman"/>
          <w:b w:val="false"/>
          <w:i w:val="false"/>
          <w:color w:val="000000"/>
          <w:sz w:val="28"/>
        </w:rPr>
        <w:t>
      независимо от типа документа, разрешительного органа или органа, осуществляющего</w:t>
      </w:r>
    </w:p>
    <w:bookmarkEnd w:id="192"/>
    <w:bookmarkStart w:name="z204" w:id="193"/>
    <w:p>
      <w:pPr>
        <w:spacing w:after="0"/>
        <w:ind w:left="0"/>
        <w:jc w:val="both"/>
      </w:pPr>
      <w:r>
        <w:rPr>
          <w:rFonts w:ascii="Times New Roman"/>
          <w:b w:val="false"/>
          <w:i w:val="false"/>
          <w:color w:val="000000"/>
          <w:sz w:val="28"/>
        </w:rPr>
        <w:t>
      уведомительный порядок. НИКАД представляет собой 15–разрядную фасетную</w:t>
      </w:r>
    </w:p>
    <w:bookmarkEnd w:id="193"/>
    <w:bookmarkStart w:name="z205" w:id="194"/>
    <w:p>
      <w:pPr>
        <w:spacing w:after="0"/>
        <w:ind w:left="0"/>
        <w:jc w:val="both"/>
      </w:pPr>
      <w:r>
        <w:rPr>
          <w:rFonts w:ascii="Times New Roman"/>
          <w:b w:val="false"/>
          <w:i w:val="false"/>
          <w:color w:val="000000"/>
          <w:sz w:val="28"/>
        </w:rPr>
        <w:t>
      структуру следующего вида:</w:t>
      </w:r>
    </w:p>
    <w:bookmarkEnd w:id="194"/>
    <w:bookmarkStart w:name="z206" w:id="195"/>
    <w:p>
      <w:pPr>
        <w:spacing w:after="0"/>
        <w:ind w:left="0"/>
        <w:jc w:val="both"/>
      </w:pPr>
      <w:r>
        <w:rPr>
          <w:rFonts w:ascii="Times New Roman"/>
          <w:b w:val="false"/>
          <w:i w:val="false"/>
          <w:color w:val="000000"/>
          <w:sz w:val="28"/>
        </w:rPr>
        <w:t>
      ССККТТТНННННННН, где:</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НННННННН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двузначный (альфа-2) код страны документа согласно стандартам ISO 3166-1 и ГОСТ 7.67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 контрольные цифры, вычисленные согласно алгоритму MOD-97-10 стандарта ISO/IEC 7064:2002, алгоритм кодирования букв согласно EBS204 V3.2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трехсимвольный код типа документа, для обозначения типа используются 24 буквы латинского алфавита (все за исключением букв "I" и "O")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восьмизначный цифровой порядковый номер документа указанного типа</w:t>
            </w:r>
          </w:p>
        </w:tc>
      </w:tr>
    </w:tbl>
    <w:bookmarkStart w:name="z207" w:id="196"/>
    <w:p>
      <w:pPr>
        <w:spacing w:after="0"/>
        <w:ind w:left="0"/>
        <w:jc w:val="both"/>
      </w:pPr>
      <w:r>
        <w:rPr>
          <w:rFonts w:ascii="Times New Roman"/>
          <w:b w:val="false"/>
          <w:i w:val="false"/>
          <w:color w:val="000000"/>
          <w:sz w:val="28"/>
        </w:rPr>
        <w:t>
      Пример: "KZ03АВС00000001" (для удобства чтения при печати номер можно разделять на группы, например, "KZ03 АВС 0000 0001", однако при вводе и обработке пробелы игнорируются).</w:t>
      </w:r>
    </w:p>
    <w:bookmarkEnd w:id="1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