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8d73" w14:textId="28d8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30 июня 2026 года № 250-н/қ. Зарегистрирован в Министерстве юстиции Республики Казахстан 2 июля 2026 года № 39205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01.07.2026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       Министерство национальной экономики</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       Бюро национальной статистики</w:t>
      </w:r>
    </w:p>
    <w:p>
      <w:pPr>
        <w:spacing w:after="0"/>
        <w:ind w:left="0"/>
        <w:jc w:val="both"/>
      </w:pPr>
      <w:r>
        <w:rPr>
          <w:rFonts w:ascii="Times New Roman"/>
          <w:b w:val="false"/>
          <w:i w:val="false"/>
          <w:color w:val="000000"/>
          <w:sz w:val="28"/>
        </w:rPr>
        <w:t xml:space="preserve">       Агентства по стратегическому</w:t>
      </w:r>
    </w:p>
    <w:p>
      <w:pPr>
        <w:spacing w:after="0"/>
        <w:ind w:left="0"/>
        <w:jc w:val="both"/>
      </w:pPr>
      <w:r>
        <w:rPr>
          <w:rFonts w:ascii="Times New Roman"/>
          <w:b w:val="false"/>
          <w:i w:val="false"/>
          <w:color w:val="000000"/>
          <w:sz w:val="28"/>
        </w:rPr>
        <w:t xml:space="preserve">       планированию и реформам</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250-н/қ</w:t>
            </w:r>
          </w:p>
        </w:tc>
      </w:tr>
    </w:tbl>
    <w:bookmarkStart w:name="z16" w:id="10"/>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11 февраля 2015 года № 74 "Об утверждении Правил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 (Зарегистрирован в Реестре государственной регистрации нормативных правовых актов под № 10455) следующее изменение:</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0" w:id="1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118 "Об утверждении Правил определения тарифа на поддержку возобновляемых источников энергии" (Зарегистрирован в Реестре государственной регистрации нормативных правовых актов под № 10622) следующие изменения:</w:t>
      </w:r>
    </w:p>
    <w:bookmarkEnd w:id="13"/>
    <w:bookmarkStart w:name="z2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тарифа на поддержку возобновляемых источников энергии,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 </w:t>
      </w:r>
    </w:p>
    <w:bookmarkStart w:name="z23" w:id="15"/>
    <w:p>
      <w:pPr>
        <w:spacing w:after="0"/>
        <w:ind w:left="0"/>
        <w:jc w:val="both"/>
      </w:pPr>
      <w:r>
        <w:rPr>
          <w:rFonts w:ascii="Times New Roman"/>
          <w:b w:val="false"/>
          <w:i w:val="false"/>
          <w:color w:val="000000"/>
          <w:sz w:val="28"/>
        </w:rPr>
        <w:t>
      "3. Фактическое значение тарифа на поддержку возобновляемых источников энергии за соответствующий час суток расчетного периода (календарного месяца) определяется по следующей формуле:</w:t>
      </w:r>
    </w:p>
    <w:bookmarkEnd w:id="15"/>
    <w:bookmarkStart w:name="z24"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683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1003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03300" cy="533400"/>
                    </a:xfrm>
                    <a:prstGeom prst="rect">
                      <a:avLst/>
                    </a:prstGeom>
                  </pic:spPr>
                </pic:pic>
              </a:graphicData>
            </a:graphic>
          </wp:inline>
        </w:drawing>
      </w:r>
    </w:p>
    <w:p>
      <w:pPr>
        <w:spacing w:after="0"/>
        <w:ind w:left="0"/>
        <w:jc w:val="left"/>
      </w:pPr>
      <w:r>
        <w:rPr>
          <w:rFonts w:ascii="Times New Roman"/>
          <w:b w:val="false"/>
          <w:i w:val="false"/>
          <w:color w:val="000000"/>
          <w:sz w:val="28"/>
        </w:rPr>
        <w:t>– тариф на поддержку возобновляемых источников энергии за соответствующий час суток расчетного периода (календарного месяца), в теңге/кВт*ч (округляется до десятитысячных);</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939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39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плановые затраты единого закупщика электрической энергии на формирование резервного фонда за соответствующий расчетный период на покупку электрической энергии от энергопроизводящих организаций, использующих возобновляемые источники энергии и имеющих заключенный с расчетно-финансовым центром и (или) единым закупщиком электрической энергии долгосрочный договор купли–продажи электрической энергии, определяемые в соответствии с Правилами формирования и использования резервного фонда,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исполняющий обязанности Министра энергетики Республики Казахстан от 29 июля 2016 года № 361 (зарегистрирован в Реестре государственной регистрации нормативных правовых актов за № 14210) (далее – Правила резервного фонда), в теңге без НДС;</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81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2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долгосрочного договора купли-продажи электрической энергии -м энергопроизводящей организации, использующей возобновляемые источники энергии (энергетическую утилизацию отходов), заключенного с единым закупщиком электрической энергии, в теңге/кВт*ч без НДС (округляется до сотых);</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863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3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на данный час суток в рамках долгосрочного договора купли-продажи электрической энергии, заключенного с единым закупщиком электрической энергии, кВт*ч (округляется до целых);</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863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3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долгосрочного договора купли-продажи электрической энергии -й энергопроизводящей организации, использующей возобновляемые источники энергии (энергетическую утилизацию отходов), заключенного с расчетно-финансовым центром, в теңге/кВт*ч без НДС (округляется до сотых);</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889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9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за расчетный период (календарный месяц), к которому относится данный час суток, согласно фактическому балансу производства-потребления на оптовом рынке электрической энергии, в рамках долгосрочного договора купли-продажи электрической энергии, заключенного с расчетно-финансовым центром, кВт*ч (округляется до целых);</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520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0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на услуги по организации балансирования производства-потребления электрической энергии за соответствующий расчетный период (календарный месяц), в теңге без НДС (округляется до сотых), определяемые по следующей формуле:</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328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289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 системного оператора на услуги по организации балансирования производства-потребления электрической энергии за соответствующий расчетный период (календарный месяц), в теңге/кВт*ч без НДС;</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93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39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электрической энергии, который за соответствующий расчетный период (календарный месяц) выработали энергопроизводящие организации, использующие возобновляемые источники энергии (энергетическую утилизацию отходов) и имеющие заключенный с расчетно-финансовым центром и (или) единым закупщиком электрической энергии долгосрочный договор купли – продажи электрической энергии, в кВт*ч (округляется до целых);</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571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715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понесенные на балансирующем рынке электрической энергии (за вычетом доходов), за соответствующий расчетный период (календарный месяц), в теңге без НДС (округляется до сотых);</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54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46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связанные с осуществлением его деятельности, за соответствующий расчетный период (календарный месяц), в теңге без НДС;</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4114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148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96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централизованной покупки и продажи электрической энергии, установленная согласно Правилам ценообразования на общественно значимых рынках,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февраля 2017 года № 36 (зарегистрирован в Реестре государственной регистрации нормативных правовых актов за № 14778) (далее – Правила ценообразования), теңге на 1 кВтч;</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635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5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за соответствующий час суток у единого закупщика электрической энергии i-м субъектом оптового рынка электрической энергии, за исключением субъектов оптового рынка электрической энергии, осуществляющих деятельность по цифровому майнингу, субъектов оптового рынка электрической энергии, включенных в список получателей адресной поддержки, в теңге (округляется до целых);</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разница фактических затрат единого закупщика электрической энергии, связанных с осуществлением его деятельности и затрат единого закупщика электрической энергии, связанных с осуществлением его деятельности на календарный год, учтенных при формировании цены централизованной покупки и продажи электрической энергии, устанавливаемой согласно Правилам ценообразования в теңге (округляется до сотых), рассчитываемая один раз в год по итогам календарного года по следующей формуле:</w:t>
      </w: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318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87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525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единого закупщика электрической энергии, связанные с осуществлением его деятельности на календарный год, учтенные при формировании цены централизованной покупки и продажи электрической энергии, устанавливаемой согласно Правилам ценообразования, в теңге (округляется до сотых);</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2527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27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обоснованные затраты единого закупщика электрической энергии в предстоящем календарном году, связанные с осуществлением его деятельности по централизованной покупке и продаже электрической энергии, из расчета на один киловатт-час электрической энергии, сформированные согласно Правилам ценообразования, в теңге (округляется до десятых);</w:t>
      </w: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1955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55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r;</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r – общее количество субъектов оптового рынка электрической энергии, купивших электрическую энергию у единого закупщика электрической энергии за соответствующий час суток.</w:t>
      </w:r>
    </w:p>
    <w:bookmarkEnd w:id="38"/>
    <w:bookmarkStart w:name="z4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46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69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зеленый тариф за соответствующий час суток расчетного периода (календарного месяца), в теңге/кВт*ч (округляется до сотых);</w:t>
      </w:r>
      <w:r>
        <w:br/>
      </w:r>
      <w:r>
        <w:rPr>
          <w:rFonts w:ascii="Times New Roman"/>
          <w:b w:val="false"/>
          <w:i w:val="false"/>
          <w:color w:val="000000"/>
          <w:sz w:val="28"/>
        </w:rPr>
        <w:t>
</w:t>
      </w:r>
    </w:p>
    <w:bookmarkStart w:name="z48"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901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01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на данный час суток в рамках долгосрочного договора купли – продажи электрической энергии, заключенного с единым закупщиком электрической энергии и расчетно-финансовым центром, кВт*ч (округляется до целых);</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609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9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потребителем зеленой энергии,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пункт 4 изложить в новой редакции:</w:t>
      </w:r>
    </w:p>
    <w:bookmarkEnd w:id="42"/>
    <w:bookmarkStart w:name="z51" w:id="43"/>
    <w:p>
      <w:pPr>
        <w:spacing w:after="0"/>
        <w:ind w:left="0"/>
        <w:jc w:val="both"/>
      </w:pPr>
      <w:r>
        <w:rPr>
          <w:rFonts w:ascii="Times New Roman"/>
          <w:b w:val="false"/>
          <w:i w:val="false"/>
          <w:color w:val="000000"/>
          <w:sz w:val="28"/>
        </w:rPr>
        <w:t>
      "4. Фактическое значение зеленого тарифа за соответствующий час суток расчетного периода (календарного месяца) определяется по следующей формуле:</w:t>
      </w:r>
    </w:p>
    <w:bookmarkEnd w:id="43"/>
    <w:bookmarkStart w:name="z52"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277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77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31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зеленый тариф за соответствующий час суток расчетного периода (календарного месяца), в теңге/кВт*ч (округляется до десятитысячных);</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952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52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объем электрической энергии, который i-я энергопроизводящая организация, использующая возобновляемые источники энергии, за исключением энергетической утилизации отходов, которая продала электрическую энергию единому закупщику электрической энергии за расчетный период (календарный месяц) в рамках долгосрочного договора купли – продажи электрической энергии, заключенного с единым закупщиком электрической энергии и (или) расчетно-финансовым центром, кВт*ч (округляется до целых);</w:t>
      </w: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850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509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плановые затраты единого закупщика электрической энергии на формирование резервного фонда за соответствующий расчетный период за покупку электрической энергии от энергопроизводящих организаций, использующих возобновляемые источники энергии и имеющих заключенный с расчетно-финансовым центром и (или) единым закупщиком электрической энергии долгосрочный договор купли–продажи электрической энергии, определяемые в соответствии с Правилами формирования и использования резервного фонда,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исполняющий обязанности Министра энергетики Республики Казахстан от 29 июля 2016 года № 361 (зарегистрирован в Реестре государственной регистрации нормативных правовых актов за № 14210) (далее – Правила резервного фонда), в теңге без НДС;</w:t>
      </w: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74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долгосрочного договора купли – продажи электрической энергии i-й энергопроизводящей организации, использующей возобновляемые источники энергии, заключенного с единым закупщиком электрической энергии, в теңге/кВт*ч без НДС (округляется до сотых);</w:t>
      </w: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863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63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использующая возобновляемые источники энергии, за исключением энергетической утилизации отходов, продала единому закупщику электрической энергии за расчетный период (календарный месяц) в рамках долгосрочного договора купли – продажи электрической энергии, заключенного с единым закупщиком электрической энергии, кВт*ч (округляется до целых);</w:t>
      </w:r>
      <w:r>
        <w:br/>
      </w:r>
      <w:r>
        <w:rPr>
          <w:rFonts w:ascii="Times New Roman"/>
          <w:b w:val="false"/>
          <w:i w:val="false"/>
          <w:color w:val="000000"/>
          <w:sz w:val="28"/>
        </w:rPr>
        <w:t>
</w:t>
      </w:r>
    </w:p>
    <w:bookmarkStart w:name="z5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81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12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долгосрочного договора купли – продажи электрической энергии i-й энергопроизводящей организации, использующей возобновляемые источники энергии, заключенного с расчетно-финансовым центром, в теңге/кВт*ч без НДС (округляется до сотых);</w:t>
      </w: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889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89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использующая возобновляемые источники энергии, за исключением энергетической утилизации отходов, которая продала электрическую энергию единому закупщику электрической энергии за расчетный период (календарный месяц), согласно фактическому балансу производства-потребления на оптовом рынке электрической энергии, в рамках долгосрочного договора купли – продажи электрической энергии, заключенного с расчетно-финансовым центром, кВт*ч (округляется до целых);</w:t>
      </w: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520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20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на услуги по организации балансирования производства-потребления электрической энергии за соответствующий расчетный период (календарный месяц), в теңге без НДС (округляется до сотых), определяемые по следующей формуле:</w:t>
      </w: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327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276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 системного оператора на услуги по организации балансирования производства-потребления электрической энергии за соответствующий расчетный период (календарный месяц), в теңге/кВт*ч без НДС;</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93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39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электрической энергии, который за соответствующий расчетный период (календарный месяц) выработали энергопроизводящие организации, использующие возобновляемые источники энергии, за исключением энергетической утилизации отходов и имеющие заключенный с расчетно-финансовым центром и (или) единым закупщиком электрической энергии долгосрочный договор купли – продажи электрической энергии, в кВт*ч (округляется до целых);</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571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715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понесенные на балансирующем рынке электрической энергии (за вычетом доходов), за соответствующий расчетный период (календарный месяц) (за исключением энергетической утилизации отходов), в теңге без НДС (округляется до сотых);</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54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46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связанные с осуществлением его деятельности, за соответствующий расчетный период (календарный месяц), в теңге без НДС;</w:t>
      </w:r>
      <w:r>
        <w:br/>
      </w:r>
      <w:r>
        <w:rPr>
          <w:rFonts w:ascii="Times New Roman"/>
          <w:b w:val="false"/>
          <w:i w:val="false"/>
          <w:color w:val="000000"/>
          <w:sz w:val="28"/>
        </w:rPr>
        <w:t>
</w:t>
      </w:r>
    </w:p>
    <w:bookmarkStart w:name="z6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424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241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96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централизованной покупки и продажи электрической энергии, установленная согласно Правилам ценообразования на общественно значимых рынках,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февраля 2017 года № 36 (зарегистрирован в Реестре государственной регистрации нормативных правовых актов за № 14778) (далее – Правила ценообразования), теңге на 1 кВтч;</w:t>
      </w:r>
      <w:r>
        <w:br/>
      </w:r>
      <w:r>
        <w:rPr>
          <w:rFonts w:ascii="Times New Roman"/>
          <w:b w:val="false"/>
          <w:i w:val="false"/>
          <w:color w:val="000000"/>
          <w:sz w:val="28"/>
        </w:rPr>
        <w:t>
</w:t>
      </w:r>
    </w:p>
    <w:bookmarkStart w:name="z68"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635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35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за соответствующий час суток у единого закупщика электрической энергии i-м субъектом оптового рынка электрической энергии, за исключением субъектов оптового рынка электрической энергии, осуществляющих деятельность по цифровому майнингу, субъектов оптового рынка электрической энергии, включенных в список получателей адресной поддержки, в теңге (округляется до целых);</w:t>
      </w:r>
      <w:r>
        <w:br/>
      </w:r>
      <w:r>
        <w:rPr>
          <w:rFonts w:ascii="Times New Roman"/>
          <w:b w:val="false"/>
          <w:i w:val="false"/>
          <w:color w:val="000000"/>
          <w:sz w:val="28"/>
        </w:rPr>
        <w:t>
</w:t>
      </w:r>
    </w:p>
    <w:bookmarkStart w:name="z69"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разница фактических затрат единого закупщика электрической энергии, связанных с осуществлением его деятельности и затрат единого закупщика электрической энергии, связанных с осуществлением его деятельности на календарный год, учтенных при формировании цены централизованной покупки и продажи электрической энергии, устанавливаемой согласно Правилам ценообразования в теңге (округляется до сотых), рассчитываемая один раз в год по итогам календарного года по следующей формуле:</w:t>
      </w:r>
      <w:r>
        <w:br/>
      </w:r>
      <w:r>
        <w:rPr>
          <w:rFonts w:ascii="Times New Roman"/>
          <w:b w:val="false"/>
          <w:i w:val="false"/>
          <w:color w:val="000000"/>
          <w:sz w:val="28"/>
        </w:rPr>
        <w:t>
</w:t>
      </w:r>
    </w:p>
    <w:bookmarkStart w:name="z7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318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187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9525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единого закупщика электрической энергии, связанные с осуществлением его деятельности на календарный год, учтенные при формировании цены централизованной покупки и продажи электрической энергии, устанавливаемой согласно Правилам ценообразования, в теңге (округляется до сотых);</w:t>
      </w: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2527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527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обоснованные затраты единого закупщика электрической энергии в предстоящем календарном году, связанные с осуществлением его деятельности по централизованной покупке и продаже электрической энергии, из расчета на один киловатт-час электрической энергии, сформированные согласно Правилам ценообразования, в теңге (округляется до десятых);</w:t>
      </w:r>
      <w:r>
        <w:br/>
      </w:r>
      <w:r>
        <w:rPr>
          <w:rFonts w:ascii="Times New Roman"/>
          <w:b w:val="false"/>
          <w:i w:val="false"/>
          <w:color w:val="000000"/>
          <w:sz w:val="28"/>
        </w:rPr>
        <w:t>
</w:t>
      </w:r>
    </w:p>
    <w:bookmarkStart w:name="z7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1955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55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i – порядковый номер, изменяющийся от 1 до r;</w:t>
      </w:r>
    </w:p>
    <w:bookmarkEnd w:id="67"/>
    <w:bookmarkStart w:name="z76" w:id="68"/>
    <w:p>
      <w:pPr>
        <w:spacing w:after="0"/>
        <w:ind w:left="0"/>
        <w:jc w:val="both"/>
      </w:pPr>
      <w:r>
        <w:rPr>
          <w:rFonts w:ascii="Times New Roman"/>
          <w:b w:val="false"/>
          <w:i w:val="false"/>
          <w:color w:val="000000"/>
          <w:sz w:val="28"/>
        </w:rPr>
        <w:t>
      r – общее количество субъектов оптового рынка электрической энергии, купивших электрическую энергию у единого закупщика электрической энергии за соответствующий час суток.";</w:t>
      </w:r>
    </w:p>
    <w:bookmarkEnd w:id="68"/>
    <w:bookmarkStart w:name="z77" w:id="69"/>
    <w:p>
      <w:pPr>
        <w:spacing w:after="0"/>
        <w:ind w:left="0"/>
        <w:jc w:val="both"/>
      </w:pPr>
      <w:r>
        <w:rPr>
          <w:rFonts w:ascii="Times New Roman"/>
          <w:b w:val="false"/>
          <w:i w:val="false"/>
          <w:color w:val="000000"/>
          <w:sz w:val="28"/>
        </w:rPr>
        <w:t>
      3.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 марта 2015 года № 164 "Об утверждении правил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(Зарегистрирован в Реестре государственной регистрации нормативных правовых актов под № 10662) следующие изменения:</w:t>
      </w:r>
    </w:p>
    <w:bookmarkEnd w:id="69"/>
    <w:bookmarkStart w:name="z78"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централизованной покупки и продажи единым закупщиком электрической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 утвержденных указанных приказом: </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новой редакции: </w:t>
      </w:r>
    </w:p>
    <w:bookmarkStart w:name="z80" w:id="71"/>
    <w:p>
      <w:pPr>
        <w:spacing w:after="0"/>
        <w:ind w:left="0"/>
        <w:jc w:val="both"/>
      </w:pPr>
      <w:r>
        <w:rPr>
          <w:rFonts w:ascii="Times New Roman"/>
          <w:b w:val="false"/>
          <w:i w:val="false"/>
          <w:color w:val="000000"/>
          <w:sz w:val="28"/>
        </w:rPr>
        <w:t>
      "29. Размер финансового обеспечения исполнения условий договора покупки составляет 10 000 (десять тысяч) теңге на 1 (один) кВт установленной мощности, умноженный на установленную мощность объекта ВИЭ, указанную в Реестре победителей аукционных торгов.</w:t>
      </w:r>
    </w:p>
    <w:bookmarkEnd w:id="71"/>
    <w:bookmarkStart w:name="z81" w:id="72"/>
    <w:p>
      <w:pPr>
        <w:spacing w:after="0"/>
        <w:ind w:left="0"/>
        <w:jc w:val="both"/>
      </w:pPr>
      <w:r>
        <w:rPr>
          <w:rFonts w:ascii="Times New Roman"/>
          <w:b w:val="false"/>
          <w:i w:val="false"/>
          <w:color w:val="000000"/>
          <w:sz w:val="28"/>
        </w:rPr>
        <w:t>
      При этом, размер финансового обеспечения на проведение разведочных работ на полигонах твердых бытовых отходов в соответствии с пунктом 28-1 настоящих Правил составляет 2 000 (две тысяч) теңге на 1 (один) кВт установленной мощности, умноженный на установленную мощность объекта ВИЭ, указанную в Реестре победителей аукционных торгов.";</w:t>
      </w:r>
    </w:p>
    <w:bookmarkEnd w:id="72"/>
    <w:bookmarkStart w:name="z82" w:id="7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34</w:t>
      </w:r>
      <w:r>
        <w:rPr>
          <w:rFonts w:ascii="Times New Roman"/>
          <w:b w:val="false"/>
          <w:i w:val="false"/>
          <w:color w:val="000000"/>
          <w:sz w:val="28"/>
        </w:rPr>
        <w:t xml:space="preserve"> изложить в новой редакции:</w:t>
      </w:r>
    </w:p>
    <w:bookmarkEnd w:id="73"/>
    <w:bookmarkStart w:name="z83" w:id="74"/>
    <w:p>
      <w:pPr>
        <w:spacing w:after="0"/>
        <w:ind w:left="0"/>
        <w:jc w:val="both"/>
      </w:pPr>
      <w:r>
        <w:rPr>
          <w:rFonts w:ascii="Times New Roman"/>
          <w:b w:val="false"/>
          <w:i w:val="false"/>
          <w:color w:val="000000"/>
          <w:sz w:val="28"/>
        </w:rPr>
        <w:t>
      "2) при не предоставлении копии акта приемки объекта в эксплуатацию по использованию ВИЭ, утвержденного в соответствии с главой 18 Строительного Кодекса Республики Казахстан (далее – Строительный кодекс), в отношении которого заключается договор покупки – в размере 100 % (сто процентов) от суммы финансового обеспечения исполнения условий договора покупки, а при удержании части финансового обеспечения исполнения условий договора покупки в соответствии с подпунктом 1) настоящего пункта – 70 % (семьдесят процентов) суммы финансового обеспечения исполнения условий договора покупки в следующие сроки с даты подписания договора покупки:</w:t>
      </w:r>
    </w:p>
    <w:bookmarkEnd w:id="74"/>
    <w:bookmarkStart w:name="z84" w:id="75"/>
    <w:p>
      <w:pPr>
        <w:spacing w:after="0"/>
        <w:ind w:left="0"/>
        <w:jc w:val="both"/>
      </w:pPr>
      <w:r>
        <w:rPr>
          <w:rFonts w:ascii="Times New Roman"/>
          <w:b w:val="false"/>
          <w:i w:val="false"/>
          <w:color w:val="000000"/>
          <w:sz w:val="28"/>
        </w:rPr>
        <w:t>
      для солнечных электростанций объемом установленной мощности 499 МВт и ниже – в течение 24 (двадцать четыре) месяцев;</w:t>
      </w:r>
    </w:p>
    <w:bookmarkEnd w:id="75"/>
    <w:bookmarkStart w:name="z85" w:id="76"/>
    <w:p>
      <w:pPr>
        <w:spacing w:after="0"/>
        <w:ind w:left="0"/>
        <w:jc w:val="both"/>
      </w:pPr>
      <w:r>
        <w:rPr>
          <w:rFonts w:ascii="Times New Roman"/>
          <w:b w:val="false"/>
          <w:i w:val="false"/>
          <w:color w:val="000000"/>
          <w:sz w:val="28"/>
        </w:rPr>
        <w:t>
      для солнечных электростанций объемом установленной мощности свыше 499 МВт – в течение 36 (тридцать шесть) месяцев;</w:t>
      </w:r>
    </w:p>
    <w:bookmarkEnd w:id="76"/>
    <w:bookmarkStart w:name="z86" w:id="77"/>
    <w:p>
      <w:pPr>
        <w:spacing w:after="0"/>
        <w:ind w:left="0"/>
        <w:jc w:val="both"/>
      </w:pPr>
      <w:r>
        <w:rPr>
          <w:rFonts w:ascii="Times New Roman"/>
          <w:b w:val="false"/>
          <w:i w:val="false"/>
          <w:color w:val="000000"/>
          <w:sz w:val="28"/>
        </w:rPr>
        <w:t>
      для ветровых электростанций объемом установленной мощности 499 МВт и ниже – в течение 36 (тридцать шесть) месяцев;</w:t>
      </w:r>
    </w:p>
    <w:bookmarkEnd w:id="77"/>
    <w:bookmarkStart w:name="z87" w:id="78"/>
    <w:p>
      <w:pPr>
        <w:spacing w:after="0"/>
        <w:ind w:left="0"/>
        <w:jc w:val="both"/>
      </w:pPr>
      <w:r>
        <w:rPr>
          <w:rFonts w:ascii="Times New Roman"/>
          <w:b w:val="false"/>
          <w:i w:val="false"/>
          <w:color w:val="000000"/>
          <w:sz w:val="28"/>
        </w:rPr>
        <w:t>
      для ветровых электростанций объемом установленной мощности свыше 499 МВт – в течение 48 (сорок восемь) месяцев;</w:t>
      </w:r>
    </w:p>
    <w:bookmarkEnd w:id="78"/>
    <w:bookmarkStart w:name="z88" w:id="79"/>
    <w:p>
      <w:pPr>
        <w:spacing w:after="0"/>
        <w:ind w:left="0"/>
        <w:jc w:val="both"/>
      </w:pPr>
      <w:r>
        <w:rPr>
          <w:rFonts w:ascii="Times New Roman"/>
          <w:b w:val="false"/>
          <w:i w:val="false"/>
          <w:color w:val="000000"/>
          <w:sz w:val="28"/>
        </w:rPr>
        <w:t>
      для биогазовых электростанций – в течение 36 (тридцать шесть) месяцев;</w:t>
      </w:r>
    </w:p>
    <w:bookmarkEnd w:id="79"/>
    <w:bookmarkStart w:name="z89" w:id="80"/>
    <w:p>
      <w:pPr>
        <w:spacing w:after="0"/>
        <w:ind w:left="0"/>
        <w:jc w:val="both"/>
      </w:pPr>
      <w:r>
        <w:rPr>
          <w:rFonts w:ascii="Times New Roman"/>
          <w:b w:val="false"/>
          <w:i w:val="false"/>
          <w:color w:val="000000"/>
          <w:sz w:val="28"/>
        </w:rPr>
        <w:t>
      для гидроэлектростанций – в течение 60 (шестьдесят) месяцев;";</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36 изложить в новой редакции:</w:t>
      </w:r>
    </w:p>
    <w:bookmarkStart w:name="z91" w:id="81"/>
    <w:p>
      <w:pPr>
        <w:spacing w:after="0"/>
        <w:ind w:left="0"/>
        <w:jc w:val="both"/>
      </w:pPr>
      <w:r>
        <w:rPr>
          <w:rFonts w:ascii="Times New Roman"/>
          <w:b w:val="false"/>
          <w:i w:val="false"/>
          <w:color w:val="000000"/>
          <w:sz w:val="28"/>
        </w:rPr>
        <w:t>
      "2) копию акта приемки в эксплуатацию объекта по использованию ВИЭ, утвержденного в порядке, определенном главой 18 Строительного кодекса, в следующие сроки с даты подписания договора покупки:</w:t>
      </w:r>
    </w:p>
    <w:bookmarkEnd w:id="81"/>
    <w:bookmarkStart w:name="z92" w:id="82"/>
    <w:p>
      <w:pPr>
        <w:spacing w:after="0"/>
        <w:ind w:left="0"/>
        <w:jc w:val="both"/>
      </w:pPr>
      <w:r>
        <w:rPr>
          <w:rFonts w:ascii="Times New Roman"/>
          <w:b w:val="false"/>
          <w:i w:val="false"/>
          <w:color w:val="000000"/>
          <w:sz w:val="28"/>
        </w:rPr>
        <w:t>
      для солнечных электростанций объемом установленной мощности 499 МВт и ниже – в течение 24 (двадцать четыре) месяцев;</w:t>
      </w:r>
    </w:p>
    <w:bookmarkEnd w:id="82"/>
    <w:bookmarkStart w:name="z93" w:id="83"/>
    <w:p>
      <w:pPr>
        <w:spacing w:after="0"/>
        <w:ind w:left="0"/>
        <w:jc w:val="both"/>
      </w:pPr>
      <w:r>
        <w:rPr>
          <w:rFonts w:ascii="Times New Roman"/>
          <w:b w:val="false"/>
          <w:i w:val="false"/>
          <w:color w:val="000000"/>
          <w:sz w:val="28"/>
        </w:rPr>
        <w:t>
      для солнечных электростанций объемом установленной мощности свыше 499 МВт – в течение 36 (тридцать шесть) месяцев;</w:t>
      </w:r>
    </w:p>
    <w:bookmarkEnd w:id="83"/>
    <w:bookmarkStart w:name="z94" w:id="84"/>
    <w:p>
      <w:pPr>
        <w:spacing w:after="0"/>
        <w:ind w:left="0"/>
        <w:jc w:val="both"/>
      </w:pPr>
      <w:r>
        <w:rPr>
          <w:rFonts w:ascii="Times New Roman"/>
          <w:b w:val="false"/>
          <w:i w:val="false"/>
          <w:color w:val="000000"/>
          <w:sz w:val="28"/>
        </w:rPr>
        <w:t>
      для ветровых электростанций объемом установленной мощности 499 МВт и ниже – в течение 36 (тридцать шесть) месяцев;</w:t>
      </w:r>
    </w:p>
    <w:bookmarkEnd w:id="84"/>
    <w:bookmarkStart w:name="z95" w:id="85"/>
    <w:p>
      <w:pPr>
        <w:spacing w:after="0"/>
        <w:ind w:left="0"/>
        <w:jc w:val="both"/>
      </w:pPr>
      <w:r>
        <w:rPr>
          <w:rFonts w:ascii="Times New Roman"/>
          <w:b w:val="false"/>
          <w:i w:val="false"/>
          <w:color w:val="000000"/>
          <w:sz w:val="28"/>
        </w:rPr>
        <w:t>
      для ветровых электростанций объемом установленной мощности свыше 499 МВт – в течение 48 (сорок восемь) месяцев;</w:t>
      </w:r>
    </w:p>
    <w:bookmarkEnd w:id="85"/>
    <w:bookmarkStart w:name="z96" w:id="86"/>
    <w:p>
      <w:pPr>
        <w:spacing w:after="0"/>
        <w:ind w:left="0"/>
        <w:jc w:val="both"/>
      </w:pPr>
      <w:r>
        <w:rPr>
          <w:rFonts w:ascii="Times New Roman"/>
          <w:b w:val="false"/>
          <w:i w:val="false"/>
          <w:color w:val="000000"/>
          <w:sz w:val="28"/>
        </w:rPr>
        <w:t>
      для биогазовых электростанций – в течение 36 (тридцать шесть) месяцев;</w:t>
      </w:r>
    </w:p>
    <w:bookmarkEnd w:id="86"/>
    <w:bookmarkStart w:name="z97" w:id="87"/>
    <w:p>
      <w:pPr>
        <w:spacing w:after="0"/>
        <w:ind w:left="0"/>
        <w:jc w:val="both"/>
      </w:pPr>
      <w:r>
        <w:rPr>
          <w:rFonts w:ascii="Times New Roman"/>
          <w:b w:val="false"/>
          <w:i w:val="false"/>
          <w:color w:val="000000"/>
          <w:sz w:val="28"/>
        </w:rPr>
        <w:t>
      для гидроэлектростанций – в течение 60 (шестьдесят) месяцев.</w:t>
      </w:r>
    </w:p>
    <w:bookmarkEnd w:id="87"/>
    <w:bookmarkStart w:name="z98" w:id="88"/>
    <w:p>
      <w:pPr>
        <w:spacing w:after="0"/>
        <w:ind w:left="0"/>
        <w:jc w:val="both"/>
      </w:pPr>
      <w:r>
        <w:rPr>
          <w:rFonts w:ascii="Times New Roman"/>
          <w:b w:val="false"/>
          <w:i w:val="false"/>
          <w:color w:val="000000"/>
          <w:sz w:val="28"/>
        </w:rPr>
        <w:t>
      При этом, указанные сроки, продлеваются на 1 (один) календарный год при истечении срока, предусмотренного частью первой настоящего подпункта будет предоставлено подтверждение о выполнении строительно-монтажных работ по объекту по использованию ВИЭ в объеме не менее 70 % (семьдесят процентов) от общего объема работ по строительству объекта по использованию ВИЭ от уполномоченной организации (лица), осуществляющей (-его) технический надзор;";</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новой редакции:</w:t>
      </w:r>
    </w:p>
    <w:bookmarkStart w:name="z100" w:id="89"/>
    <w:p>
      <w:pPr>
        <w:spacing w:after="0"/>
        <w:ind w:left="0"/>
        <w:jc w:val="both"/>
      </w:pPr>
      <w:r>
        <w:rPr>
          <w:rFonts w:ascii="Times New Roman"/>
          <w:b w:val="false"/>
          <w:i w:val="false"/>
          <w:color w:val="000000"/>
          <w:sz w:val="28"/>
        </w:rPr>
        <w:t>
      "46. При применении на вновь вводимом объекте по энергетической утилизации отходов генерирующих установок, ранее находившихся в эксплуатации, соответствующая информация отображается в акте приемки в эксплуатацию объекта по энергетической утилизации отходов, утвержденного в порядке, определенном главой 18 Строительного кодекса.";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49 изложить в новой редакции:</w:t>
      </w:r>
    </w:p>
    <w:bookmarkStart w:name="z102" w:id="90"/>
    <w:p>
      <w:pPr>
        <w:spacing w:after="0"/>
        <w:ind w:left="0"/>
        <w:jc w:val="both"/>
      </w:pPr>
      <w:r>
        <w:rPr>
          <w:rFonts w:ascii="Times New Roman"/>
          <w:b w:val="false"/>
          <w:i w:val="false"/>
          <w:color w:val="000000"/>
          <w:sz w:val="28"/>
        </w:rPr>
        <w:t>
      "2) при не предоставлении копии акта приемки объекта по энергетической утилизации отходов, утвержденного в порядке, определенном в соответствии с главой 18 Строительного кодекса, в отношении которого заключается договор покупки – в размере 100 % (сто процентов) от суммы финансового обеспечения исполнения условий договора покупки, а при удержании части финансового обеспечения исполнения условий договора покупки в соответствии с подпунктом 1) настоящего пункта – 70 % (семьдесят процентов) суммы финансового обеспечения исполнения условий договора покупки в течение 60 (шестьдесят) месяцев с даты подписания договора покупки.";</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50 изложить в новой редакции:</w:t>
      </w:r>
    </w:p>
    <w:bookmarkStart w:name="z104" w:id="91"/>
    <w:p>
      <w:pPr>
        <w:spacing w:after="0"/>
        <w:ind w:left="0"/>
        <w:jc w:val="both"/>
      </w:pPr>
      <w:r>
        <w:rPr>
          <w:rFonts w:ascii="Times New Roman"/>
          <w:b w:val="false"/>
          <w:i w:val="false"/>
          <w:color w:val="000000"/>
          <w:sz w:val="28"/>
        </w:rPr>
        <w:t xml:space="preserve">
      "2) копию акта приемки в эксплуатацию объекта по энергетической утилизации отходов, утвержденного в порядке, определенном </w:t>
      </w:r>
      <w:r>
        <w:rPr>
          <w:rFonts w:ascii="Times New Roman"/>
          <w:b w:val="false"/>
          <w:i w:val="false"/>
          <w:color w:val="000000"/>
          <w:sz w:val="28"/>
        </w:rPr>
        <w:t>главой 18</w:t>
      </w:r>
      <w:r>
        <w:rPr>
          <w:rFonts w:ascii="Times New Roman"/>
          <w:b w:val="false"/>
          <w:i w:val="false"/>
          <w:color w:val="000000"/>
          <w:sz w:val="28"/>
        </w:rPr>
        <w:t xml:space="preserve"> Строительного кодекса, в отношении которого заключается договор покупки – в течение 60 (шестьдесят) месяцев с даты подписания договора покупки для объектов по энергетической утилизации отходов;";</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новой редакции: </w:t>
      </w:r>
    </w:p>
    <w:bookmarkStart w:name="z106" w:id="92"/>
    <w:p>
      <w:pPr>
        <w:spacing w:after="0"/>
        <w:ind w:left="0"/>
        <w:jc w:val="both"/>
      </w:pPr>
      <w:r>
        <w:rPr>
          <w:rFonts w:ascii="Times New Roman"/>
          <w:b w:val="false"/>
          <w:i w:val="false"/>
          <w:color w:val="000000"/>
          <w:sz w:val="28"/>
        </w:rPr>
        <w:t>
      "55. Затраты на поддержку использования ВИЭ, приходящиеся на прямых потребителей, промышленные комплексы определяются как соответствующая доля их планового объема потребления электрической энергии субъекта оптового рынка электрической энергии, покрываемого за счет генерирующих установок, имеющихся у него на праве собственности, или покрываемого энергопроизводящими организациями, входящими с данным субъектом оптового рынка электрической энергии в одну группу лиц в общем объеме планового потребления Республики Казахстан.";</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67 изложить в новой редакции:</w:t>
      </w:r>
    </w:p>
    <w:bookmarkStart w:name="z108" w:id="93"/>
    <w:p>
      <w:pPr>
        <w:spacing w:after="0"/>
        <w:ind w:left="0"/>
        <w:jc w:val="both"/>
      </w:pPr>
      <w:r>
        <w:rPr>
          <w:rFonts w:ascii="Times New Roman"/>
          <w:b w:val="false"/>
          <w:i w:val="false"/>
          <w:color w:val="000000"/>
          <w:sz w:val="28"/>
        </w:rPr>
        <w:t xml:space="preserve">
      "1) копию акта приемки в эксплуатацию объекта по использованию ВИЭ и (или) объекта по использованию вторичных энергетических ресурсов, введенных в эксплуатацию КП и утвержденного в порядке, определенном </w:t>
      </w:r>
      <w:r>
        <w:rPr>
          <w:rFonts w:ascii="Times New Roman"/>
          <w:b w:val="false"/>
          <w:i w:val="false"/>
          <w:color w:val="000000"/>
          <w:sz w:val="28"/>
        </w:rPr>
        <w:t>главой 18</w:t>
      </w:r>
      <w:r>
        <w:rPr>
          <w:rFonts w:ascii="Times New Roman"/>
          <w:b w:val="false"/>
          <w:i w:val="false"/>
          <w:color w:val="000000"/>
          <w:sz w:val="28"/>
        </w:rPr>
        <w:t xml:space="preserve"> Строительного кодекса в течение 5 (пять) рабочих дней с даты подписания данного акта;";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73 изложить в новой редакции:</w:t>
      </w:r>
    </w:p>
    <w:bookmarkStart w:name="z110" w:id="94"/>
    <w:p>
      <w:pPr>
        <w:spacing w:after="0"/>
        <w:ind w:left="0"/>
        <w:jc w:val="both"/>
      </w:pPr>
      <w:r>
        <w:rPr>
          <w:rFonts w:ascii="Times New Roman"/>
          <w:b w:val="false"/>
          <w:i w:val="false"/>
          <w:color w:val="000000"/>
          <w:sz w:val="28"/>
        </w:rPr>
        <w:t>
      "2) копию акта приемки объекта в эксплуатацию по использованию ВИЭ, утвержденного в соответствии с главой 18 Строительного кодекса, в отношении которого заключается договор покупки – в течение 36 (тридцать шесть) месяцев с даты подписания договора покупки.</w:t>
      </w:r>
    </w:p>
    <w:bookmarkEnd w:id="94"/>
    <w:bookmarkStart w:name="z111" w:id="95"/>
    <w:p>
      <w:pPr>
        <w:spacing w:after="0"/>
        <w:ind w:left="0"/>
        <w:jc w:val="both"/>
      </w:pPr>
      <w:r>
        <w:rPr>
          <w:rFonts w:ascii="Times New Roman"/>
          <w:b w:val="false"/>
          <w:i w:val="false"/>
          <w:color w:val="000000"/>
          <w:sz w:val="28"/>
        </w:rPr>
        <w:t xml:space="preserve">
      При этом, срок, указанный в части первой настоящего подпункта, продлевается на 1 (один) календарный год при его истечении будет предоставлено подтверждение о выполнении строительно-монтажных работ по объекту по использованию ВИЭ в объеме не менее 70 % (семьдесят процентов) от общего объема работ по строительству объекта по использованию ВИЭ от уполномоченной организации (лица), осуществляющей (-его) технический надзор в соответствии со </w:t>
      </w:r>
      <w:r>
        <w:rPr>
          <w:rFonts w:ascii="Times New Roman"/>
          <w:b w:val="false"/>
          <w:i w:val="false"/>
          <w:color w:val="000000"/>
          <w:sz w:val="28"/>
        </w:rPr>
        <w:t>статьей 54</w:t>
      </w:r>
      <w:r>
        <w:rPr>
          <w:rFonts w:ascii="Times New Roman"/>
          <w:b w:val="false"/>
          <w:i w:val="false"/>
          <w:color w:val="000000"/>
          <w:sz w:val="28"/>
        </w:rPr>
        <w:t xml:space="preserve"> Строительного кодекса;";</w:t>
      </w:r>
    </w:p>
    <w:bookmarkEnd w:id="95"/>
    <w:bookmarkStart w:name="z112" w:id="96"/>
    <w:p>
      <w:pPr>
        <w:spacing w:after="0"/>
        <w:ind w:left="0"/>
        <w:jc w:val="both"/>
      </w:pPr>
      <w:r>
        <w:rPr>
          <w:rFonts w:ascii="Times New Roman"/>
          <w:b w:val="false"/>
          <w:i w:val="false"/>
          <w:color w:val="000000"/>
          <w:sz w:val="28"/>
        </w:rPr>
        <w:t>
      подпункт 2) пункта 82 изложить в новой редакции:</w:t>
      </w:r>
    </w:p>
    <w:bookmarkEnd w:id="96"/>
    <w:bookmarkStart w:name="z113" w:id="97"/>
    <w:p>
      <w:pPr>
        <w:spacing w:after="0"/>
        <w:ind w:left="0"/>
        <w:jc w:val="both"/>
      </w:pPr>
      <w:r>
        <w:rPr>
          <w:rFonts w:ascii="Times New Roman"/>
          <w:b w:val="false"/>
          <w:i w:val="false"/>
          <w:color w:val="000000"/>
          <w:sz w:val="28"/>
        </w:rPr>
        <w:t xml:space="preserve">
      "2) копию акта приемки в эксплуатацию объекта по использованию ВИЭ, утвержденного в порядке, определенном </w:t>
      </w:r>
      <w:r>
        <w:rPr>
          <w:rFonts w:ascii="Times New Roman"/>
          <w:b w:val="false"/>
          <w:i w:val="false"/>
          <w:color w:val="000000"/>
          <w:sz w:val="28"/>
        </w:rPr>
        <w:t>главой 18</w:t>
      </w:r>
      <w:r>
        <w:rPr>
          <w:rFonts w:ascii="Times New Roman"/>
          <w:b w:val="false"/>
          <w:i w:val="false"/>
          <w:color w:val="000000"/>
          <w:sz w:val="28"/>
        </w:rPr>
        <w:t xml:space="preserve"> Строительного кодекса, в отношении которого заключается договор покупки, в следующие сроки с даты подписания договора покупки:</w:t>
      </w:r>
    </w:p>
    <w:bookmarkEnd w:id="97"/>
    <w:bookmarkStart w:name="z114" w:id="98"/>
    <w:p>
      <w:pPr>
        <w:spacing w:after="0"/>
        <w:ind w:left="0"/>
        <w:jc w:val="both"/>
      </w:pPr>
      <w:r>
        <w:rPr>
          <w:rFonts w:ascii="Times New Roman"/>
          <w:b w:val="false"/>
          <w:i w:val="false"/>
          <w:color w:val="000000"/>
          <w:sz w:val="28"/>
        </w:rPr>
        <w:t>
      для солнечных электростанций объемом установленной мощности 499 МВт и ниже – в течение 24 (двадцать четыре) месяцев;</w:t>
      </w:r>
    </w:p>
    <w:bookmarkEnd w:id="98"/>
    <w:bookmarkStart w:name="z115" w:id="99"/>
    <w:p>
      <w:pPr>
        <w:spacing w:after="0"/>
        <w:ind w:left="0"/>
        <w:jc w:val="both"/>
      </w:pPr>
      <w:r>
        <w:rPr>
          <w:rFonts w:ascii="Times New Roman"/>
          <w:b w:val="false"/>
          <w:i w:val="false"/>
          <w:color w:val="000000"/>
          <w:sz w:val="28"/>
        </w:rPr>
        <w:t>
      для солнечных электростанций объемом установленной мощности свыше 499 МВт – в течение 36 (тридцать шесть) месяцев;</w:t>
      </w:r>
    </w:p>
    <w:bookmarkEnd w:id="99"/>
    <w:bookmarkStart w:name="z116" w:id="100"/>
    <w:p>
      <w:pPr>
        <w:spacing w:after="0"/>
        <w:ind w:left="0"/>
        <w:jc w:val="both"/>
      </w:pPr>
      <w:r>
        <w:rPr>
          <w:rFonts w:ascii="Times New Roman"/>
          <w:b w:val="false"/>
          <w:i w:val="false"/>
          <w:color w:val="000000"/>
          <w:sz w:val="28"/>
        </w:rPr>
        <w:t>
      для ветровых электростанций объемом установленной мощности 499 МВт и ниже – в течение 36 (тридцать шесть) месяцев;</w:t>
      </w:r>
    </w:p>
    <w:bookmarkEnd w:id="100"/>
    <w:bookmarkStart w:name="z117" w:id="101"/>
    <w:p>
      <w:pPr>
        <w:spacing w:after="0"/>
        <w:ind w:left="0"/>
        <w:jc w:val="both"/>
      </w:pPr>
      <w:r>
        <w:rPr>
          <w:rFonts w:ascii="Times New Roman"/>
          <w:b w:val="false"/>
          <w:i w:val="false"/>
          <w:color w:val="000000"/>
          <w:sz w:val="28"/>
        </w:rPr>
        <w:t>
      для ветровых электростанций объемом установленной мощности 499 МВт и ниже – в течение 48 (сорок восемь) месяцев;</w:t>
      </w:r>
    </w:p>
    <w:bookmarkEnd w:id="101"/>
    <w:bookmarkStart w:name="z118" w:id="102"/>
    <w:p>
      <w:pPr>
        <w:spacing w:after="0"/>
        <w:ind w:left="0"/>
        <w:jc w:val="both"/>
      </w:pPr>
      <w:r>
        <w:rPr>
          <w:rFonts w:ascii="Times New Roman"/>
          <w:b w:val="false"/>
          <w:i w:val="false"/>
          <w:color w:val="000000"/>
          <w:sz w:val="28"/>
        </w:rPr>
        <w:t>
      для биогазовых электростанций – в течение 36 (тридцать шесть) месяцев;</w:t>
      </w:r>
    </w:p>
    <w:bookmarkEnd w:id="102"/>
    <w:bookmarkStart w:name="z119" w:id="103"/>
    <w:p>
      <w:pPr>
        <w:spacing w:after="0"/>
        <w:ind w:left="0"/>
        <w:jc w:val="both"/>
      </w:pPr>
      <w:r>
        <w:rPr>
          <w:rFonts w:ascii="Times New Roman"/>
          <w:b w:val="false"/>
          <w:i w:val="false"/>
          <w:color w:val="000000"/>
          <w:sz w:val="28"/>
        </w:rPr>
        <w:t>
      для гидроэлектростанций – в течение 60 (шестьдесят) месяцев.</w:t>
      </w:r>
    </w:p>
    <w:bookmarkEnd w:id="103"/>
    <w:bookmarkStart w:name="z120" w:id="104"/>
    <w:p>
      <w:pPr>
        <w:spacing w:after="0"/>
        <w:ind w:left="0"/>
        <w:jc w:val="both"/>
      </w:pPr>
      <w:r>
        <w:rPr>
          <w:rFonts w:ascii="Times New Roman"/>
          <w:b w:val="false"/>
          <w:i w:val="false"/>
          <w:color w:val="000000"/>
          <w:sz w:val="28"/>
        </w:rPr>
        <w:t>
      При этом, указанные сроки, продлеваются на 1 (один) календарный год при истечении срока, предусмотренного частью первой настоящего подпункта будет предоставлено подтверждение о выполнении строительно-монтажных работ по объекту по использованию ВИЭ в объеме не менее 70 % (семьдесят процентов) от общего объема работ по строительству объекта по использованию ВИЭ от уполномоченной организации (лица), осуществляющей (-его) технический надзор в соответствии со статьей 54 Строительного кодекса;";</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новой редакции:</w:t>
      </w:r>
    </w:p>
    <w:bookmarkStart w:name="z122" w:id="105"/>
    <w:p>
      <w:pPr>
        <w:spacing w:after="0"/>
        <w:ind w:left="0"/>
        <w:jc w:val="both"/>
      </w:pPr>
      <w:r>
        <w:rPr>
          <w:rFonts w:ascii="Times New Roman"/>
          <w:b w:val="false"/>
          <w:i w:val="false"/>
          <w:color w:val="000000"/>
          <w:sz w:val="28"/>
        </w:rPr>
        <w:t>
      "88. При применении на вновь вводимом объекте по энергетической утилизации отходов генерирующих установок, ранее находившихся в эксплуатации, соответствующая информация отображается в акте приемки в эксплуатацию объекта по энергетической утилизации отходов, утвержденного в порядке, определенном главой 18 Строительного кодекса.";</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90 изложить в новой редакции:</w:t>
      </w:r>
    </w:p>
    <w:bookmarkStart w:name="z124" w:id="106"/>
    <w:p>
      <w:pPr>
        <w:spacing w:after="0"/>
        <w:ind w:left="0"/>
        <w:jc w:val="both"/>
      </w:pPr>
      <w:r>
        <w:rPr>
          <w:rFonts w:ascii="Times New Roman"/>
          <w:b w:val="false"/>
          <w:i w:val="false"/>
          <w:color w:val="000000"/>
          <w:sz w:val="28"/>
        </w:rPr>
        <w:t>
      "2) при не предоставлении копии акта приемки объекта по энергетической утилизации отходов, утвержденного в порядке, определенном в соответствии с главой 18 Строительного кодекса, в отношении которого заключается договор покупки – в размере 100 % (сто процентов) от суммы финансового обеспечения исполнения условий договора покупки, а при удержании части финансового обеспечения исполнения условий договора покупки в соответствии с подпунктом 1) настоящего пункта – 70 % (семьдесят процентов) суммы финансового обеспечения исполнения условий договора покупки в течение 60 (шестьдесят) месяцев с даты подписания договора покупки."</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91 изложить в новой редакции:</w:t>
      </w:r>
    </w:p>
    <w:bookmarkStart w:name="z126" w:id="107"/>
    <w:p>
      <w:pPr>
        <w:spacing w:after="0"/>
        <w:ind w:left="0"/>
        <w:jc w:val="both"/>
      </w:pPr>
      <w:r>
        <w:rPr>
          <w:rFonts w:ascii="Times New Roman"/>
          <w:b w:val="false"/>
          <w:i w:val="false"/>
          <w:color w:val="000000"/>
          <w:sz w:val="28"/>
        </w:rPr>
        <w:t>
      "2) копию акта приемки в эксплуатацию объекта по энергетической утилизации отходов, утвержденного в порядке, определенном главой 18 Строительного кодекса, в отношении которого заключается договор покупки – в течение 60 (шестьдесят) месяцев с даты подписания договора покупки для объектов по энергетической утилизации отходов;".</w:t>
      </w:r>
    </w:p>
    <w:bookmarkEnd w:id="107"/>
    <w:bookmarkStart w:name="z127" w:id="108"/>
    <w:p>
      <w:pPr>
        <w:spacing w:after="0"/>
        <w:ind w:left="0"/>
        <w:jc w:val="both"/>
      </w:pPr>
      <w:r>
        <w:rPr>
          <w:rFonts w:ascii="Times New Roman"/>
          <w:b w:val="false"/>
          <w:i w:val="false"/>
          <w:color w:val="000000"/>
          <w:sz w:val="28"/>
        </w:rPr>
        <w:t>
      4.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21 декабря 2017 года № 466 "Об утверждении Правил организации и проведения аукционных торгов, включающих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(зарегистрирован в Реестре государственной регистрации нормативных правовых актов под № 16240) следующее изменение:</w:t>
      </w:r>
    </w:p>
    <w:bookmarkEnd w:id="108"/>
    <w:bookmarkStart w:name="z128"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утвержденных указанным приказом: </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w:t>
      </w:r>
      <w:r>
        <w:rPr>
          <w:rFonts w:ascii="Times New Roman"/>
          <w:b w:val="false"/>
          <w:i w:val="false"/>
          <w:color w:val="000000"/>
          <w:sz w:val="28"/>
        </w:rPr>
        <w:t xml:space="preserve"> изложить в новой редакции: </w:t>
      </w:r>
    </w:p>
    <w:bookmarkStart w:name="z130" w:id="110"/>
    <w:p>
      <w:pPr>
        <w:spacing w:after="0"/>
        <w:ind w:left="0"/>
        <w:jc w:val="both"/>
      </w:pPr>
      <w:r>
        <w:rPr>
          <w:rFonts w:ascii="Times New Roman"/>
          <w:b w:val="false"/>
          <w:i w:val="false"/>
          <w:color w:val="000000"/>
          <w:sz w:val="28"/>
        </w:rPr>
        <w:t>
      "105. Споры, возникающие в ходе организации и проведении аукционных торгов, разрешаются в порядке, установленном Административным процедурно-процессуальным кодексом Республики Казахстан".</w:t>
      </w:r>
    </w:p>
    <w:bookmarkEnd w:id="110"/>
    <w:bookmarkStart w:name="z131" w:id="111"/>
    <w:p>
      <w:pPr>
        <w:spacing w:after="0"/>
        <w:ind w:left="0"/>
        <w:jc w:val="both"/>
      </w:pPr>
      <w:r>
        <w:rPr>
          <w:rFonts w:ascii="Times New Roman"/>
          <w:b w:val="false"/>
          <w:i w:val="false"/>
          <w:color w:val="000000"/>
          <w:sz w:val="28"/>
        </w:rPr>
        <w:t>
      5.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7 ноября 2016 года № 478 "Об утверждении целевых показателей развития сектора возобновляемых источников энергии" (зарегистрирован в Реестре государственной регистрации нормативных правовых актов под № 14489) следующее изменение:</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 </w:t>
      </w:r>
    </w:p>
    <w:bookmarkStart w:name="z133" w:id="11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375)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250-н/қ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мониторинга за использованием</w:t>
            </w:r>
            <w:r>
              <w:br/>
            </w:r>
            <w:r>
              <w:rPr>
                <w:rFonts w:ascii="Times New Roman"/>
                <w:b w:val="false"/>
                <w:i w:val="false"/>
                <w:color w:val="000000"/>
                <w:sz w:val="20"/>
              </w:rPr>
              <w:t>возобновляемых источников</w:t>
            </w:r>
            <w:r>
              <w:br/>
            </w:r>
            <w:r>
              <w:rPr>
                <w:rFonts w:ascii="Times New Roman"/>
                <w:b w:val="false"/>
                <w:i w:val="false"/>
                <w:color w:val="000000"/>
                <w:sz w:val="20"/>
              </w:rPr>
              <w:t>энергии и реализацией</w:t>
            </w:r>
            <w:r>
              <w:br/>
            </w:r>
            <w:r>
              <w:rPr>
                <w:rFonts w:ascii="Times New Roman"/>
                <w:b w:val="false"/>
                <w:i w:val="false"/>
                <w:color w:val="000000"/>
                <w:sz w:val="20"/>
              </w:rPr>
              <w:t>планируемых объектов</w:t>
            </w:r>
            <w:r>
              <w:br/>
            </w:r>
            <w:r>
              <w:rPr>
                <w:rFonts w:ascii="Times New Roman"/>
                <w:b w:val="false"/>
                <w:i w:val="false"/>
                <w:color w:val="000000"/>
                <w:sz w:val="20"/>
              </w:rPr>
              <w:t>по использованию возобновляемых</w:t>
            </w:r>
            <w:r>
              <w:br/>
            </w:r>
            <w:r>
              <w:rPr>
                <w:rFonts w:ascii="Times New Roman"/>
                <w:b w:val="false"/>
                <w:i w:val="false"/>
                <w:color w:val="000000"/>
                <w:sz w:val="20"/>
              </w:rPr>
              <w:t>источников энергии</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6" w:id="113"/>
    <w:p>
      <w:pPr>
        <w:spacing w:after="0"/>
        <w:ind w:left="0"/>
        <w:jc w:val="both"/>
      </w:pPr>
      <w:r>
        <w:rPr>
          <w:rFonts w:ascii="Times New Roman"/>
          <w:b w:val="false"/>
          <w:i w:val="false"/>
          <w:color w:val="000000"/>
          <w:sz w:val="28"/>
        </w:rPr>
        <w:t>
      Представляется: в уполномоченный орган в области поддержки использования возобновляемых источников энергии.</w:t>
      </w:r>
    </w:p>
    <w:bookmarkEnd w:id="113"/>
    <w:bookmarkStart w:name="z137" w:id="11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w:t>
      </w:r>
    </w:p>
    <w:bookmarkEnd w:id="114"/>
    <w:bookmarkStart w:name="z138" w:id="115"/>
    <w:p>
      <w:pPr>
        <w:spacing w:after="0"/>
        <w:ind w:left="0"/>
        <w:jc w:val="both"/>
      </w:pPr>
      <w:r>
        <w:rPr>
          <w:rFonts w:ascii="Times New Roman"/>
          <w:b w:val="false"/>
          <w:i w:val="false"/>
          <w:color w:val="000000"/>
          <w:sz w:val="28"/>
        </w:rPr>
        <w:t>
      https://www.gov.kz/memleket/entities/energo/activities/directions?lang=ru.</w:t>
      </w:r>
    </w:p>
    <w:bookmarkEnd w:id="115"/>
    <w:bookmarkStart w:name="z139" w:id="116"/>
    <w:p>
      <w:pPr>
        <w:spacing w:after="0"/>
        <w:ind w:left="0"/>
        <w:jc w:val="both"/>
      </w:pPr>
      <w:r>
        <w:rPr>
          <w:rFonts w:ascii="Times New Roman"/>
          <w:b w:val="false"/>
          <w:i w:val="false"/>
          <w:color w:val="000000"/>
          <w:sz w:val="28"/>
        </w:rPr>
        <w:t>
      Наименование административной формы: Информация о производстве и отпуске электрической и (или) тепловой энергии объектами по использованию возобновляемых источников энергии.</w:t>
      </w:r>
    </w:p>
    <w:bookmarkEnd w:id="116"/>
    <w:bookmarkStart w:name="z140" w:id="11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1 ВИЭ.</w:t>
      </w:r>
    </w:p>
    <w:bookmarkEnd w:id="117"/>
    <w:bookmarkStart w:name="z141" w:id="118"/>
    <w:p>
      <w:pPr>
        <w:spacing w:after="0"/>
        <w:ind w:left="0"/>
        <w:jc w:val="both"/>
      </w:pPr>
      <w:r>
        <w:rPr>
          <w:rFonts w:ascii="Times New Roman"/>
          <w:b w:val="false"/>
          <w:i w:val="false"/>
          <w:color w:val="000000"/>
          <w:sz w:val="28"/>
        </w:rPr>
        <w:t>
      Периодичность: ежеквартальная.</w:t>
      </w:r>
    </w:p>
    <w:bookmarkEnd w:id="118"/>
    <w:bookmarkStart w:name="z142" w:id="119"/>
    <w:p>
      <w:pPr>
        <w:spacing w:after="0"/>
        <w:ind w:left="0"/>
        <w:jc w:val="both"/>
      </w:pPr>
      <w:r>
        <w:rPr>
          <w:rFonts w:ascii="Times New Roman"/>
          <w:b w:val="false"/>
          <w:i w:val="false"/>
          <w:color w:val="000000"/>
          <w:sz w:val="28"/>
        </w:rPr>
        <w:t>
      Отчетный период: _____квартал _______года.</w:t>
      </w:r>
    </w:p>
    <w:bookmarkEnd w:id="119"/>
    <w:bookmarkStart w:name="z143" w:id="12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энергопроизводящие организации, использующие возобновляемые источники энергии (далее – ВИЭ).</w:t>
      </w:r>
    </w:p>
    <w:bookmarkEnd w:id="120"/>
    <w:bookmarkStart w:name="z144" w:id="12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15 (пятнадцатого) числа месяца, следующего за отчетным периодом.</w:t>
      </w:r>
    </w:p>
    <w:bookmarkEnd w:id="121"/>
    <w:bookmarkStart w:name="z145" w:id="122"/>
    <w:p>
      <w:pPr>
        <w:spacing w:after="0"/>
        <w:ind w:left="0"/>
        <w:jc w:val="both"/>
      </w:pPr>
      <w:r>
        <w:rPr>
          <w:rFonts w:ascii="Times New Roman"/>
          <w:b w:val="false"/>
          <w:i w:val="false"/>
          <w:color w:val="000000"/>
          <w:sz w:val="28"/>
        </w:rPr>
        <w:t>
      Метод сбора: на бумажном носителе, в электронном виде.</w:t>
      </w:r>
    </w:p>
    <w:bookmarkEnd w:id="122"/>
    <w:bookmarkStart w:name="z146" w:id="123"/>
    <w:p>
      <w:pPr>
        <w:spacing w:after="0"/>
        <w:ind w:left="0"/>
        <w:jc w:val="left"/>
      </w:pPr>
      <w:r>
        <w:rPr>
          <w:rFonts w:ascii="Times New Roman"/>
          <w:b/>
          <w:i w:val="false"/>
          <w:color w:val="000000"/>
        </w:rPr>
        <w:t xml:space="preserve"> Информация о производстве и отпуске электрической и (или) тепловой энергии объектами по использованию возобновляемых источников энергии</w:t>
      </w:r>
    </w:p>
    <w:bookmarkEnd w:id="123"/>
    <w:bookmarkStart w:name="z147" w:id="124"/>
    <w:p>
      <w:pPr>
        <w:spacing w:after="0"/>
        <w:ind w:left="0"/>
        <w:jc w:val="both"/>
      </w:pPr>
      <w:r>
        <w:rPr>
          <w:rFonts w:ascii="Times New Roman"/>
          <w:b w:val="false"/>
          <w:i w:val="false"/>
          <w:color w:val="000000"/>
          <w:sz w:val="28"/>
        </w:rPr>
        <w:t>
      1. Наименование, бизнес-идентификационный номер энергопроизводящей</w:t>
      </w:r>
    </w:p>
    <w:bookmarkEnd w:id="124"/>
    <w:bookmarkStart w:name="z148" w:id="125"/>
    <w:p>
      <w:pPr>
        <w:spacing w:after="0"/>
        <w:ind w:left="0"/>
        <w:jc w:val="both"/>
      </w:pPr>
      <w:r>
        <w:rPr>
          <w:rFonts w:ascii="Times New Roman"/>
          <w:b w:val="false"/>
          <w:i w:val="false"/>
          <w:color w:val="000000"/>
          <w:sz w:val="28"/>
        </w:rPr>
        <w:t>
      организации ____________________________________________________________________________</w:t>
      </w:r>
    </w:p>
    <w:bookmarkEnd w:id="125"/>
    <w:bookmarkStart w:name="z149"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453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533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50" w:id="127"/>
      <w:r>
        <w:rPr>
          <w:rFonts w:ascii="Times New Roman"/>
          <w:b w:val="false"/>
          <w:i w:val="false"/>
          <w:color w:val="000000"/>
          <w:sz w:val="28"/>
        </w:rPr>
        <w:t>
      2. Наименование объекта по использованию ВИЭ</w:t>
      </w:r>
    </w:p>
    <w:bookmarkEnd w:id="127"/>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3. Адрес объекта по использованию ВИЭ</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4. Установленная мощность объекта по использованию ВИЭ (кВт)</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5. Вид используемого ВИЭ __________________________________________________</w:t>
      </w:r>
    </w:p>
    <w:p>
      <w:pPr>
        <w:spacing w:after="0"/>
        <w:ind w:left="0"/>
        <w:jc w:val="both"/>
      </w:pPr>
      <w:r>
        <w:rPr>
          <w:rFonts w:ascii="Times New Roman"/>
          <w:b w:val="false"/>
          <w:i w:val="false"/>
          <w:color w:val="000000"/>
          <w:sz w:val="28"/>
        </w:rPr>
        <w:t xml:space="preserve">       6. Форма сбора (электронная/бумажная) _______________________________________</w:t>
      </w:r>
    </w:p>
    <w:p>
      <w:pPr>
        <w:spacing w:after="0"/>
        <w:ind w:left="0"/>
        <w:jc w:val="both"/>
      </w:pPr>
      <w:r>
        <w:rPr>
          <w:rFonts w:ascii="Times New Roman"/>
          <w:b w:val="false"/>
          <w:i w:val="false"/>
          <w:color w:val="000000"/>
          <w:sz w:val="28"/>
        </w:rPr>
        <w:t xml:space="preserve">       7. Общее количество рабочих мест__________, в том числе:</w:t>
      </w:r>
    </w:p>
    <w:p>
      <w:pPr>
        <w:spacing w:after="0"/>
        <w:ind w:left="0"/>
        <w:jc w:val="both"/>
      </w:pPr>
      <w:r>
        <w:rPr>
          <w:rFonts w:ascii="Times New Roman"/>
          <w:b w:val="false"/>
          <w:i w:val="false"/>
          <w:color w:val="000000"/>
          <w:sz w:val="28"/>
        </w:rPr>
        <w:t xml:space="preserve">       1) женских ______</w:t>
      </w:r>
    </w:p>
    <w:p>
      <w:pPr>
        <w:spacing w:after="0"/>
        <w:ind w:left="0"/>
        <w:jc w:val="both"/>
      </w:pPr>
      <w:r>
        <w:rPr>
          <w:rFonts w:ascii="Times New Roman"/>
          <w:b w:val="false"/>
          <w:i w:val="false"/>
          <w:color w:val="000000"/>
          <w:sz w:val="28"/>
        </w:rPr>
        <w:t xml:space="preserve">       2) мужских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выработка за _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выработка за_ квартал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электрической энергии, тысяч киловатт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тепловой энергии, Гигакалория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электрической энергии, тысяч киловатт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Отпуск тепловой энергии, Гигакалория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отпускная цена электрической энергии, теңге/киловатт час без налога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отпускная цена тепловой энергии, теңге/ Гигакалория без налога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1" w:id="128"/>
      <w:r>
        <w:rPr>
          <w:rFonts w:ascii="Times New Roman"/>
          <w:b w:val="false"/>
          <w:i w:val="false"/>
          <w:color w:val="000000"/>
          <w:sz w:val="28"/>
        </w:rPr>
        <w:t>
      Телефон __________________________________________________________________</w:t>
      </w:r>
    </w:p>
    <w:bookmarkEnd w:id="128"/>
    <w:p>
      <w:pPr>
        <w:spacing w:after="0"/>
        <w:ind w:left="0"/>
        <w:jc w:val="both"/>
      </w:pPr>
      <w:r>
        <w:rPr>
          <w:rFonts w:ascii="Times New Roman"/>
          <w:b w:val="false"/>
          <w:i w:val="false"/>
          <w:color w:val="000000"/>
          <w:sz w:val="28"/>
        </w:rPr>
        <w:t xml:space="preserve">       Адрес электронной почты ___________________________________________________</w:t>
      </w:r>
    </w:p>
    <w:p>
      <w:pPr>
        <w:spacing w:after="0"/>
        <w:ind w:left="0"/>
        <w:jc w:val="both"/>
      </w:pPr>
      <w:r>
        <w:rPr>
          <w:rFonts w:ascii="Times New Roman"/>
          <w:b w:val="false"/>
          <w:i w:val="false"/>
          <w:color w:val="000000"/>
          <w:sz w:val="28"/>
        </w:rPr>
        <w:t xml:space="preserve">       Исполнитель_______________________________________________________________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Примечание: в случае использования двух и более видов ВИЭ информация по планируемому проекту ВИЭ, отчет предоставляется отдельно по каждому виду.</w:t>
      </w:r>
    </w:p>
    <w:p>
      <w:pPr>
        <w:spacing w:after="0"/>
        <w:ind w:left="0"/>
        <w:jc w:val="both"/>
      </w:pPr>
      <w:r>
        <w:rPr>
          <w:rFonts w:ascii="Times New Roman"/>
          <w:b w:val="false"/>
          <w:i w:val="false"/>
          <w:color w:val="000000"/>
          <w:sz w:val="28"/>
        </w:rPr>
        <w:t xml:space="preserve">       Место для печати: 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производстве</w:t>
            </w:r>
            <w:r>
              <w:br/>
            </w:r>
            <w:r>
              <w:rPr>
                <w:rFonts w:ascii="Times New Roman"/>
                <w:b w:val="false"/>
                <w:i w:val="false"/>
                <w:color w:val="000000"/>
                <w:sz w:val="20"/>
              </w:rPr>
              <w:t>и отпуске электрической и (или)</w:t>
            </w:r>
            <w:r>
              <w:br/>
            </w:r>
            <w:r>
              <w:rPr>
                <w:rFonts w:ascii="Times New Roman"/>
                <w:b w:val="false"/>
                <w:i w:val="false"/>
                <w:color w:val="000000"/>
                <w:sz w:val="20"/>
              </w:rPr>
              <w:t>тепловой энергии объектами</w:t>
            </w:r>
            <w:r>
              <w:br/>
            </w:r>
            <w:r>
              <w:rPr>
                <w:rFonts w:ascii="Times New Roman"/>
                <w:b w:val="false"/>
                <w:i w:val="false"/>
                <w:color w:val="000000"/>
                <w:sz w:val="20"/>
              </w:rPr>
              <w:t>по использованию возобновляемых</w:t>
            </w:r>
            <w:r>
              <w:br/>
            </w:r>
            <w:r>
              <w:rPr>
                <w:rFonts w:ascii="Times New Roman"/>
                <w:b w:val="false"/>
                <w:i w:val="false"/>
                <w:color w:val="000000"/>
                <w:sz w:val="20"/>
              </w:rPr>
              <w:t>источников энергии"</w:t>
            </w:r>
          </w:p>
        </w:tc>
      </w:tr>
    </w:tbl>
    <w:bookmarkStart w:name="z153" w:id="129"/>
    <w:p>
      <w:pPr>
        <w:spacing w:after="0"/>
        <w:ind w:left="0"/>
        <w:jc w:val="left"/>
      </w:pPr>
      <w:r>
        <w:rPr>
          <w:rFonts w:ascii="Times New Roman"/>
          <w:b/>
          <w:i w:val="false"/>
          <w:color w:val="000000"/>
        </w:rPr>
        <w:t xml:space="preserve"> Пояснение по заполнению формы административных данных "Информация о производстве и отпуске электрической и (или) тепловой энергии объектами по использованию возобновляемых источников энергии" (Индекс: форма № 1 ВИЭ, периодичность: ежеквартальная)</w:t>
      </w:r>
    </w:p>
    <w:bookmarkEnd w:id="129"/>
    <w:bookmarkStart w:name="z154" w:id="130"/>
    <w:p>
      <w:pPr>
        <w:spacing w:after="0"/>
        <w:ind w:left="0"/>
        <w:jc w:val="both"/>
      </w:pPr>
      <w:r>
        <w:rPr>
          <w:rFonts w:ascii="Times New Roman"/>
          <w:b w:val="false"/>
          <w:i w:val="false"/>
          <w:color w:val="000000"/>
          <w:sz w:val="28"/>
        </w:rPr>
        <w:t>
      В форме административных данных "Информация о производстве и отпуске электрической и (или) тепловой энергии объектами по использованию возобновляемых источников энергии" включаются следующие данные:</w:t>
      </w:r>
    </w:p>
    <w:bookmarkEnd w:id="130"/>
    <w:bookmarkStart w:name="z155" w:id="131"/>
    <w:p>
      <w:pPr>
        <w:spacing w:after="0"/>
        <w:ind w:left="0"/>
        <w:jc w:val="both"/>
      </w:pPr>
      <w:r>
        <w:rPr>
          <w:rFonts w:ascii="Times New Roman"/>
          <w:b w:val="false"/>
          <w:i w:val="false"/>
          <w:color w:val="000000"/>
          <w:sz w:val="28"/>
        </w:rPr>
        <w:t>
      в пункте 1 указывается полное наименование организации, предоставляющей информацию и бизнес-идентификационный номер;</w:t>
      </w:r>
    </w:p>
    <w:bookmarkEnd w:id="131"/>
    <w:bookmarkStart w:name="z156" w:id="132"/>
    <w:p>
      <w:pPr>
        <w:spacing w:after="0"/>
        <w:ind w:left="0"/>
        <w:jc w:val="both"/>
      </w:pPr>
      <w:r>
        <w:rPr>
          <w:rFonts w:ascii="Times New Roman"/>
          <w:b w:val="false"/>
          <w:i w:val="false"/>
          <w:color w:val="000000"/>
          <w:sz w:val="28"/>
        </w:rPr>
        <w:t>
      в пункте 2 указывается наименование объекта по использованию возобновляемых источников энергии (далее – ВИЭ);</w:t>
      </w:r>
    </w:p>
    <w:bookmarkEnd w:id="132"/>
    <w:bookmarkStart w:name="z157" w:id="133"/>
    <w:p>
      <w:pPr>
        <w:spacing w:after="0"/>
        <w:ind w:left="0"/>
        <w:jc w:val="both"/>
      </w:pPr>
      <w:r>
        <w:rPr>
          <w:rFonts w:ascii="Times New Roman"/>
          <w:b w:val="false"/>
          <w:i w:val="false"/>
          <w:color w:val="000000"/>
          <w:sz w:val="28"/>
        </w:rPr>
        <w:t>
      в пункте 3 указывается фактический адрес объекта ВИЭ;</w:t>
      </w:r>
    </w:p>
    <w:bookmarkEnd w:id="133"/>
    <w:bookmarkStart w:name="z158" w:id="134"/>
    <w:p>
      <w:pPr>
        <w:spacing w:after="0"/>
        <w:ind w:left="0"/>
        <w:jc w:val="both"/>
      </w:pPr>
      <w:r>
        <w:rPr>
          <w:rFonts w:ascii="Times New Roman"/>
          <w:b w:val="false"/>
          <w:i w:val="false"/>
          <w:color w:val="000000"/>
          <w:sz w:val="28"/>
        </w:rPr>
        <w:t>
      в пункте 4 указывается мощность объекта ВИЭ;</w:t>
      </w:r>
    </w:p>
    <w:bookmarkEnd w:id="134"/>
    <w:bookmarkStart w:name="z159" w:id="135"/>
    <w:p>
      <w:pPr>
        <w:spacing w:after="0"/>
        <w:ind w:left="0"/>
        <w:jc w:val="both"/>
      </w:pPr>
      <w:r>
        <w:rPr>
          <w:rFonts w:ascii="Times New Roman"/>
          <w:b w:val="false"/>
          <w:i w:val="false"/>
          <w:color w:val="000000"/>
          <w:sz w:val="28"/>
        </w:rPr>
        <w:t>
      в пункте 5 указывается вид объекта (солнечная, ветровая, гидроэлектростанция и биогазовая установка), использующего ВИЭ;</w:t>
      </w:r>
    </w:p>
    <w:bookmarkEnd w:id="135"/>
    <w:bookmarkStart w:name="z160" w:id="136"/>
    <w:p>
      <w:pPr>
        <w:spacing w:after="0"/>
        <w:ind w:left="0"/>
        <w:jc w:val="both"/>
      </w:pPr>
      <w:r>
        <w:rPr>
          <w:rFonts w:ascii="Times New Roman"/>
          <w:b w:val="false"/>
          <w:i w:val="false"/>
          <w:color w:val="000000"/>
          <w:sz w:val="28"/>
        </w:rPr>
        <w:t>
      в пункте 6 указывается форма предоставления информации энергопроизводящими организациями;</w:t>
      </w:r>
    </w:p>
    <w:bookmarkEnd w:id="136"/>
    <w:bookmarkStart w:name="z161" w:id="137"/>
    <w:p>
      <w:pPr>
        <w:spacing w:after="0"/>
        <w:ind w:left="0"/>
        <w:jc w:val="both"/>
      </w:pPr>
      <w:r>
        <w:rPr>
          <w:rFonts w:ascii="Times New Roman"/>
          <w:b w:val="false"/>
          <w:i w:val="false"/>
          <w:color w:val="000000"/>
          <w:sz w:val="28"/>
        </w:rPr>
        <w:t>
      в пункте 7 указывается общее количество работников, задействованных в обслуживании объекта, из них женщин и мужчин.</w:t>
      </w:r>
    </w:p>
    <w:bookmarkEnd w:id="137"/>
    <w:bookmarkStart w:name="z162" w:id="138"/>
    <w:p>
      <w:pPr>
        <w:spacing w:after="0"/>
        <w:ind w:left="0"/>
        <w:jc w:val="both"/>
      </w:pPr>
      <w:r>
        <w:rPr>
          <w:rFonts w:ascii="Times New Roman"/>
          <w:b w:val="false"/>
          <w:i w:val="false"/>
          <w:color w:val="000000"/>
          <w:sz w:val="28"/>
        </w:rPr>
        <w:t>
      в графе 2 строки 1 указываются фактические данные выработки электрической энергии объектами ВИЭ за отчетный период (квартал);</w:t>
      </w:r>
    </w:p>
    <w:bookmarkEnd w:id="138"/>
    <w:bookmarkStart w:name="z163" w:id="139"/>
    <w:p>
      <w:pPr>
        <w:spacing w:after="0"/>
        <w:ind w:left="0"/>
        <w:jc w:val="both"/>
      </w:pPr>
      <w:r>
        <w:rPr>
          <w:rFonts w:ascii="Times New Roman"/>
          <w:b w:val="false"/>
          <w:i w:val="false"/>
          <w:color w:val="000000"/>
          <w:sz w:val="28"/>
        </w:rPr>
        <w:t>
      в графе 3 строки 1 указываются прогнозные данные выработки электрической энергии объектами ВИЭ на предстоящий отчетный период (квартал);</w:t>
      </w:r>
    </w:p>
    <w:bookmarkEnd w:id="139"/>
    <w:bookmarkStart w:name="z164" w:id="140"/>
    <w:p>
      <w:pPr>
        <w:spacing w:after="0"/>
        <w:ind w:left="0"/>
        <w:jc w:val="both"/>
      </w:pPr>
      <w:r>
        <w:rPr>
          <w:rFonts w:ascii="Times New Roman"/>
          <w:b w:val="false"/>
          <w:i w:val="false"/>
          <w:color w:val="000000"/>
          <w:sz w:val="28"/>
        </w:rPr>
        <w:t>
      в графе 2 строки 2 указываются фактические данные выработки тепловой энергии объектами ВИЭ за отчетный период (квартал);</w:t>
      </w:r>
    </w:p>
    <w:bookmarkEnd w:id="140"/>
    <w:bookmarkStart w:name="z165" w:id="141"/>
    <w:p>
      <w:pPr>
        <w:spacing w:after="0"/>
        <w:ind w:left="0"/>
        <w:jc w:val="both"/>
      </w:pPr>
      <w:r>
        <w:rPr>
          <w:rFonts w:ascii="Times New Roman"/>
          <w:b w:val="false"/>
          <w:i w:val="false"/>
          <w:color w:val="000000"/>
          <w:sz w:val="28"/>
        </w:rPr>
        <w:t>
      в графе 3 строки 2 указываются прогнозные данные выработки тепловой энергии объектами ВИЭ на предстоящий отчетный период (квартал);</w:t>
      </w:r>
    </w:p>
    <w:bookmarkEnd w:id="141"/>
    <w:bookmarkStart w:name="z166" w:id="142"/>
    <w:p>
      <w:pPr>
        <w:spacing w:after="0"/>
        <w:ind w:left="0"/>
        <w:jc w:val="both"/>
      </w:pPr>
      <w:r>
        <w:rPr>
          <w:rFonts w:ascii="Times New Roman"/>
          <w:b w:val="false"/>
          <w:i w:val="false"/>
          <w:color w:val="000000"/>
          <w:sz w:val="28"/>
        </w:rPr>
        <w:t>
      в графе 2 строки 3 указывается фактическое количество электроэнергии, отпущенной в электрическую сеть за отчетный период (квартал);</w:t>
      </w:r>
    </w:p>
    <w:bookmarkEnd w:id="142"/>
    <w:bookmarkStart w:name="z167" w:id="143"/>
    <w:p>
      <w:pPr>
        <w:spacing w:after="0"/>
        <w:ind w:left="0"/>
        <w:jc w:val="both"/>
      </w:pPr>
      <w:r>
        <w:rPr>
          <w:rFonts w:ascii="Times New Roman"/>
          <w:b w:val="false"/>
          <w:i w:val="false"/>
          <w:color w:val="000000"/>
          <w:sz w:val="28"/>
        </w:rPr>
        <w:t>
      в графе 3 строки 3 указывается прогнозное количество электроэнергии, планируемой к отпуску в электрическую сеть на предстоящий отчетный период (квартал);</w:t>
      </w:r>
    </w:p>
    <w:bookmarkEnd w:id="143"/>
    <w:bookmarkStart w:name="z168" w:id="144"/>
    <w:p>
      <w:pPr>
        <w:spacing w:after="0"/>
        <w:ind w:left="0"/>
        <w:jc w:val="both"/>
      </w:pPr>
      <w:r>
        <w:rPr>
          <w:rFonts w:ascii="Times New Roman"/>
          <w:b w:val="false"/>
          <w:i w:val="false"/>
          <w:color w:val="000000"/>
          <w:sz w:val="28"/>
        </w:rPr>
        <w:t>
      в графе 2 строки 4 указывается фактическое количество тепловой энергии, отпущенной в единую тепловую систему за отчетный период (квартал);</w:t>
      </w:r>
    </w:p>
    <w:bookmarkEnd w:id="144"/>
    <w:bookmarkStart w:name="z169" w:id="145"/>
    <w:p>
      <w:pPr>
        <w:spacing w:after="0"/>
        <w:ind w:left="0"/>
        <w:jc w:val="both"/>
      </w:pPr>
      <w:r>
        <w:rPr>
          <w:rFonts w:ascii="Times New Roman"/>
          <w:b w:val="false"/>
          <w:i w:val="false"/>
          <w:color w:val="000000"/>
          <w:sz w:val="28"/>
        </w:rPr>
        <w:t>
      в графе 3 строки 4 указывается прогнозное количество тепловой энергии, планируемой к отпуску в единую тепловую систему на предстоящий отчетный период (квартал);</w:t>
      </w:r>
    </w:p>
    <w:bookmarkEnd w:id="145"/>
    <w:bookmarkStart w:name="z170" w:id="146"/>
    <w:p>
      <w:pPr>
        <w:spacing w:after="0"/>
        <w:ind w:left="0"/>
        <w:jc w:val="both"/>
      </w:pPr>
      <w:r>
        <w:rPr>
          <w:rFonts w:ascii="Times New Roman"/>
          <w:b w:val="false"/>
          <w:i w:val="false"/>
          <w:color w:val="000000"/>
          <w:sz w:val="28"/>
        </w:rPr>
        <w:t>
      в графе 2 строки 5 указывается средняя цена, по которой энергопроизводящая организация продала электрическую энергию в отчетном периоде (квартал);</w:t>
      </w:r>
    </w:p>
    <w:bookmarkEnd w:id="146"/>
    <w:bookmarkStart w:name="z171" w:id="147"/>
    <w:p>
      <w:pPr>
        <w:spacing w:after="0"/>
        <w:ind w:left="0"/>
        <w:jc w:val="both"/>
      </w:pPr>
      <w:r>
        <w:rPr>
          <w:rFonts w:ascii="Times New Roman"/>
          <w:b w:val="false"/>
          <w:i w:val="false"/>
          <w:color w:val="000000"/>
          <w:sz w:val="28"/>
        </w:rPr>
        <w:t>
      в графе 3 строки 5 указывается средняя цена, по которой энергопроизводящая организация планирует продавать электрическую энергию в предстоящий отчетный период (квартал);</w:t>
      </w:r>
    </w:p>
    <w:bookmarkEnd w:id="147"/>
    <w:bookmarkStart w:name="z172" w:id="148"/>
    <w:p>
      <w:pPr>
        <w:spacing w:after="0"/>
        <w:ind w:left="0"/>
        <w:jc w:val="both"/>
      </w:pPr>
      <w:r>
        <w:rPr>
          <w:rFonts w:ascii="Times New Roman"/>
          <w:b w:val="false"/>
          <w:i w:val="false"/>
          <w:color w:val="000000"/>
          <w:sz w:val="28"/>
        </w:rPr>
        <w:t>
      в графе 2 строки 6 указывается средняя цена, по которой энергопроизводящая организация продала тепловую энергию в отчетном периоде (квартал);</w:t>
      </w:r>
    </w:p>
    <w:bookmarkEnd w:id="148"/>
    <w:bookmarkStart w:name="z173" w:id="149"/>
    <w:p>
      <w:pPr>
        <w:spacing w:after="0"/>
        <w:ind w:left="0"/>
        <w:jc w:val="both"/>
      </w:pPr>
      <w:r>
        <w:rPr>
          <w:rFonts w:ascii="Times New Roman"/>
          <w:b w:val="false"/>
          <w:i w:val="false"/>
          <w:color w:val="000000"/>
          <w:sz w:val="28"/>
        </w:rPr>
        <w:t>
      в графе 3 строки 6 указывается средняя цена, по которой энергопроизводящая организация планирует продать тепловую энергию в предстоящий отчетный период (квартал).</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