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23abe" w14:textId="8e23a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совместный приказ Министра юстиции Республики Казахстан от 11 июля 2023 года № 473, и.о. Министра национальной экономики Республики Казахстан от 12 июля 2023 года № 135 и Председателя Агентства Республики Казахстан по противодействию коррупции (Антикоррупционной службы) от 11 июля 2023 года № 223 "Об утверждении Правил организации и проведения научной экспертизы, а также отбора научных экспертов"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и.о. Министра юстиции Республики Казахстан от 25 июня 2026 года № 603 и Заместителя Премьер-Министра – Министра национальной экономики Республики Казахстан от 29 июня 2026 года № 93. Зарегистрирован в Министерстве юстиции Республики Казахстан 29 июня 2026 года № 39141.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11 июля 2023 года № 473, и.о. Министра национальной экономики Республики Казахстан от 12 июля 2023 года № 135 и Председателя Агентства Республики Казахстан по противодействию коррупции (Антикоррупционной службы) от 11 июля 2023 года № 223 "Об утверждении Правил организации и проведения научной экспертизы, а также отбора научных экспертов" (зарегистрирован в Реестре государственной регистрации нормативных правовых актов № 33104)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проведения научной экспертизы, а также отбора научных экспертов, утвержденных указанным совместным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экспертная комиссия – группа в составе не менее 2 (двух) экспертов, созданная с целью проведения научной экспертизы;";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Научная экспертиза проектов нормативных правовых актов проводится в целях,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(далее - Закон "О правовых актах").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Научная экспертиза международного договора или проекта международного договора проводится в целях,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международных договорах Республики Казахстан".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проектам нормативных правовых актов, разработанным в порядке законодательной инициативы Правительства Республики Казахстан (далее – Правительство) и вносимым на рассмотрение Курултая Республики Казахстан (далее – Курултай), проводятся научная правовая, научная лингвистическая, научная экономическая, научная антикоррупционная и другие экспертизы.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нормативных правовых актов, вносимым на рассмотрение Курултая, проведение научной экспертизы в зависимости от регулируемых ими общественных отношений обязательно, за исключением случаев внесения проектов законов в порядке законодательной инициативы Президента Республики Казахстан (далее – Президент), когда научная экспертиза может не проводиться.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окончательный текст международного договора проводится научная экспертиза (правовая, лингвистическая и другая) в зависимости от правоотношений.";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Повторная научная экспертиза проводится при внесении концептуальных изменений и дополнений в проект нормативного правового акта и (или) в случаях, когда заключение научной экспертизы по результатам первоначальной научной экспертизы необоснованно.";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по инициативе депутатов Курултая;";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по инициативе депутатов Курултая.";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этом, проекты законов, разрабатываемые в порядке законодательной инициативы депутатов Курултая и Қазақстан Халық Кеңесі, направляются по их решению на проведение научной экспертизы.";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13-2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"13-2. Проекты законов, разрабатываемые в порядке законодательной инициативы депутатов Курултая и Қазақстан Халық Кеңесі, направляются на проведение научных экспертиз посредством электронного документооборота в электронном виде с приложением следующих материалов:";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паспорт по оценке социально-экономических последствий действия принимаемого проекта закона (на казахском и русском языках), подписанного депутатом/депутатами Курултая, инициировавшим(ими) разработку проекта закона или членом/членами Қазақстан Халық Кеңесі;";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Заключение научной экспертизы подписывается первым руководителем уполномоченной организации или лицом, уполномоченным подписывать заключения научной экспертизы, и экспертами, проводившими научную экспертизу, а по научной экономической экспертизе - руководителем научной организации либо лицом, исполняющим его обязанности, и экспертами.";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"25. Разработчиками проектов законов являются депутаты Курултая, Қазақстан Халық Кеңесі, Администрация Президента, Правительство, иные государственные органы, организации и граждане по согласованию с ними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правовых актах".";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Эксперты, осуществляющие научную правовую экспертизу по проектам законов, делятся на две группы.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эксперту первой группы: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высшее юридическое образование, ученая степень либо степень доктора философии (PhD), доктора по профилю по группе специальностей "Право";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общий стаж работы по юридической специальности не менее 5 (пяти) лет.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эксперту второй группы: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высшее юридическое образование/академическая степень по группе специальностей "Право";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общий стаж работы по юридической специальности не менее 10 (десяти) лет.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Эксперты первой и второй групп обладают правами и обязанностями в соответствии с законодательством и привлекаются к проведению научной правовой экспертизы на равноправной основе.";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"29. Решение о включении в реестр, об отказе во включении либо об исключении из него кандидата в эксперты (далее – кандидат) или эксперта принимается уполномоченной организацией на основании заключения комиссии.";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Научная правовая экспертиза проектов законов проводится на следующих стадиях разработки проекта закона: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размещении на интернет-портале открытых нормативных правовых актов для публичного обсуждения;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внесения концептуальных изменений в проект закона, в результате его доработки по замечаниям Администрации Президента или Аппарата Правительства.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требования не распространяются на проекты законов, инициированные депутатами Курултая и Қазақстан Халық Кеңесі.";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пункта 46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своей деятельности Претензионный совет руководствуется Конституцией Республики Казахстан, законами Республики Казахстан, настоящими Правилами и Положением о Претензионном совете, утверждаемым руководителем уполномоченной организации, которым определяются порядок формирования, полномочия и регламент работы Претензионного совета.";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"50. Научная правовая экспертиза международных договоров или проектов международных договоров осуществляется экспертом или экспертной комиссией, состоящих в реестре экспертов.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ее состав включаются эксперты, которые должны соответствовать следующим требованиям: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высшее юридическое образование;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ученая степень, степень доктора философии (PhD), доктора по профилю по специальности "Международное право" или по группе специальностей "Право" (специальность "Международное право" является приоритетной);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общий стаж по юридической специальности не менее 3 (трех) лет.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проведению научной правовой экспертизы также привлекается эксперт, имеющий: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высшее юридическое образование и академическую степень магистра по специальности "Международное право" или по группе специальностей "Право" (специальность "Международное право" является приоритетной) и опыт работы не менее 3 (трех) лет по юридической специальности; 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высшее юридическое образование или академическую степень бакалавра по специальности "Международное право" или по группе специальностей "Право" (специальность "Международное право" является приоритетной) и опыт работы не менее 10 (десяти) лет по юридической специальности.";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"52. Решение о включении кандидата в реестр экспертов, об отказе во включении либо об исключении эксперта из реестра экспертов принимается в соответствии с пунктами 29 и 30 настоящих Правил.";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56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"Эксперт изучает международный договор или проект международного договора и прилагаемые материалы и в случае отсутствия обстоятельств, исключающих участие эксперта в проведении научной правовой экспертизы, принимает их к рассмотрению.";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67 изложить в следующей редакции:</w:t>
      </w:r>
    </w:p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по проектам законов после согласования с Администрацией Президента, Аппаратом Правительства до их внесения на рассмотрение Курултая;";</w:t>
      </w:r>
    </w:p>
    <w:bookmarkEnd w:id="49"/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69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0"/>
    <w:bookmarkStart w:name="z6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"Международные договоры или проекты международных договоров, а также материалы к ним на научную лингвистическую экспертизу направляются разработчиком (органом-разработчиком) уполномоченной организации посредством электронного документооборота и на бумажных носителях. При этом электронные варианты должны быть идентичны документам на бумажном носителе и представляться одновременно.";</w:t>
      </w:r>
    </w:p>
    <w:bookmarkEnd w:id="51"/>
    <w:bookmarkStart w:name="z6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72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"72. Для проведения научной лингвистической экспертизы проектов законов, инициированных депутатами Курултая и Қазақстан Халық Кеңесі, посредством электронного документооборота Министерству юстиции и (или) уполномоченной организации направляется:";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73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"73. Министерство юстиции после получения проектов законов, инициированных депутатами Курултая и Қазақстан Халық Кеңесі, направляет их в уполномоченную организацию для проведения научной лингвистической экспертизы посредством электронного документооборота.";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83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случае, если у разработчика (органа-разработчика) проекта возникают вопросы в отношении заключения научной лингвистической экспертизы, он может обратиться к уполномоченной организации за соответствующими пояснениями. Уполномоченная организация предоставляет такие пояснения в течение 5 (пяти) рабочих дней со дня поступления обращения.";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"99. Научная антикоррупционная экспертиза проводится по проектам законов, вносимых на рассмотрение Курултая, за исключением случаев внесения проектов законов в порядке законодательной инициативы Президента, когда научная антикоррупционная экспертиза может не проводиться, и проектам иных нормативных правовых актов, за исключением указанных в пункте 100 настоящих Правил.";</w:t>
      </w:r>
    </w:p>
    <w:bookmarkEnd w:id="58"/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100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9"/>
    <w:bookmarkStart w:name="z7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четвертый изложить в следующей редакции:</w:t>
      </w:r>
    </w:p>
    <w:bookmarkEnd w:id="60"/>
    <w:bookmarkStart w:name="z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"нормативных постановлений Курултая;";</w:t>
      </w:r>
    </w:p>
    <w:bookmarkEnd w:id="61"/>
    <w:bookmarkStart w:name="z8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восьмой изложить в следующей редакции:</w:t>
      </w:r>
    </w:p>
    <w:bookmarkEnd w:id="62"/>
    <w:bookmarkStart w:name="z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"постановлений Правительства, предусматривающих внесение проектов законов на рассмотрение Курултая и проектов указов Президента на рассмотрение Президента;";</w:t>
      </w:r>
    </w:p>
    <w:bookmarkEnd w:id="63"/>
    <w:bookmarkStart w:name="z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шестнадцатый изложить в следующей редакции:</w:t>
      </w:r>
    </w:p>
    <w:bookmarkEnd w:id="64"/>
    <w:bookmarkStart w:name="z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"нормативных правовых актов об объемах трансфертов общего характера между республиканским и областными бюджетами, бюджетами столицы, городов республиканского значения;";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106 изложить в следующей редакции:</w:t>
      </w:r>
    </w:p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опыт работы не менее 5 (пяти) лет в той отрасли деятельности, по которой предполагает выступить в качестве эксперта, либо не менее 3 (трех) лет в случае наличия ученой степени / степени кандидата наук, доктора наук, доктора PhD или доктора по профилю в той отрасли деятельности, по которой предполагает выступить в качестве эксперта;";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"128. Разработчик рассматривает заключение научной антикоррупционной экспертизы и принимает одно из следующих действий: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согласия с рекомендациями заключения научной антикоррупционной экспертизы, вносит соответствующие изменения и (или) дополнения в проект нормативного правового акта. При этом, не позднее 5 (пяти) рабочих дней со дня получения заключения, размещает соответствующую информацию на интернет-портале открытых нормативных правовых актов;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случае, если заключение научной антикоррупционной экспертизы содержит рекомендации, не относящиеся к компетенции разработчика, то разработчик в течение 2 (двух) рабочих дней с момента поступления заключения направляет их с проектом нормативного правового акта государственным органам, в компетенцию которых входит рассмотрение вопросов, затрагиваемых в экспертном заключении, для проработки и предоставления соответствующей информации.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5 (пяти) рабочих дней со дня получения заключения научной антикоррупционной экспертизы и проекта нормативного правового акта от разработчика, государственные органы, в компетенцию которых входит рассмотрение вопросов, затрагиваемых в экспертном заключении, обязаны рассмотреть данные рекомендации и представить соответствующую информацию разработчику. Разработчик не позднее 2 (двух) рабочих дней с даты получения информации от государственных органов, размещает ее на интернет-портале открытых нормативных правовых актов;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несогласия с рекомендациями, разработчик не позднее 5 (пяти) рабочих дней со дня получения заключения научной антикоррупционной экспертизы, размещает на интернет-портале открытых нормативных правовых актов позицию государственных органов с указанием обоснованных причин несогласия.";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137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"Общее количество членов конкурсной комиссии составляет нечетное число, но не менее 5 (пяти) человек.";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организации и проведения научной экспертизы, а также отбора научных экспертов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организации и проведения научной экспертизы, а также отбора научных экспертов: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"Типовой договор на проведение научной антикоррупционной экспертизы, заключаемый между уполномоченной организацией и экспертом";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Start w:name="z10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осуществить выдачу заключения научной антикоррупционной экспертизы на казахском или русском языке нарочно, электронной почтой либо посредством цифровой системы (при ее наличии).".</w:t>
      </w:r>
    </w:p>
    <w:bookmarkEnd w:id="76"/>
    <w:bookmarkStart w:name="z10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конституционного законодательства и государственного управления Министерства юстиции Республики Казахстан в установленном законодательством порядке обеспечить:</w:t>
      </w:r>
    </w:p>
    <w:bookmarkEnd w:id="77"/>
    <w:bookmarkStart w:name="z10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приказа;</w:t>
      </w:r>
    </w:p>
    <w:bookmarkEnd w:id="78"/>
    <w:bookmarkStart w:name="z10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официальном интернет-ресурсе Министерства юстиции Республики Казахстан.</w:t>
      </w:r>
    </w:p>
    <w:bookmarkEnd w:id="79"/>
    <w:bookmarkStart w:name="z10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вице-министра юстиции Республики Казахстан.</w:t>
      </w:r>
    </w:p>
    <w:bookmarkEnd w:id="80"/>
    <w:bookmarkStart w:name="z10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с 1 июля 2026 года и подлежит официальному опубликованию, за исключением абзацев шестьдесят шестого и шестьдесят седьмого пункта 1 настоящего совместного приказа, которые вводятся в действие с 12 июля 2026 года.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– 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Б. Жакселекова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2026 года № 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и.о.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июня 2026 года № 603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проведения научной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отбора научных экспертов</w:t>
            </w:r>
          </w:p>
        </w:tc>
      </w:tr>
    </w:tbl>
    <w:bookmarkStart w:name="z110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по оценке социально-экономических последствий действия принимаемых проектов законов Республики Казахстан для представления на научную экономическую экспертизу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Общая информация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 закона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Контактная информация исполнителя – разработчика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наличии):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электронной почты: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Отрасль законодательства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 правового регулирования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Обоснованность и своевременность разработки проекта закона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Проблема, на решение которой направлен проект закона (проблема должна быть определена и сформулирована максимально четко. Следует избегать чрезмерно обширных либо неконкретных формулировок).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Формулировка проблемы: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Качественное и количественное описание проблемы: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(качественно раскрыть сущность и масштаб проблемы: в территориальном и отраслевом аспектах, а также представить информацию о динамике развития проблемы: увеличение, снижение или неизменность остроты проблемы с течением времени)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Негативные эффекты, возникающие в связи с наличием проблемы: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(описать негативные эффекты, являющиеся последствием существования проблемы, с представлением сведений о причинении вреда, его размерах в денежном выражении; количественных сведений о нарушениях прав и интересов граждан и организаций; сведений о невозможности выполнения действий, функций либо получения услуг вследствие отсутствия регулирования (данные и оценки убытков, упущенной выгоды и др.); данных об обращении, жалобах граждан и организаций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которых затрагивает проблема: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(охарактеризовать затронутые проблемой целевые группы: граждане, предприятия, организации, государство)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Причины, существование которых приводит к проблеме: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 Анализ текущей ситуации и государственное регулирование в проблемной сфере (основные параметры развития регулируемой отрасли, сектора экономики, оценка конкурентоспособности с использованием анализа статистических данных и международных рейтинговых оценок, предпринимаемые в настоящее время меры для решения проблемы в рамках действующего законодательства, программных документов, достигнутые результаты)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 Цель и задачи проекта закона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(желаемый результат от введения проекта закона)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Цель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(установление долгосрочных социальных и (или) экономических целей, для достижения которых разрабатывается проект закона)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Задачи (должны определять будущее состояние дел для осуществления проверки достижения цели)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количественно-измеримые показатели результатов решения задач (показатели, характеризующие степень решения задач; не распространяется на нормы, содержащие редакционные правки и направленные на устранение правовых пробелов и коллизий)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1.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3.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1.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3.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….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 Соответствие целей проекта закона стратегическим целям государства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(отразить согласованность цели предлагаемого регулирования с целями ежегодных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посланий Президента РК, Стратегии "Казахстан-2050", стратегических и программных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документов с указанием конкретных положений документов и их названия)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Стратегические цели государства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соответствия цели проекта закона стратегическим целям государства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"… ."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"…"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 Международный опыт решения аналогичных проблем регулирования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(описание примеров решения установленной проблемы регулирования в разных странах)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 Описание всех вариантов решения проблемы, рассмотренных на этапе разработки проекта закона, и обоснование выбранного варианта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(описание механизмов, преимуществ, недостатков, рисков реализации различных вариантов решения проблемы, а также обоснование выбора предлагаемого способа решения проблемы с описанием причины исключения других вариантов)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социально-экономических последствий с применением метода анализа выгод и издержек для целевых групп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(определить целевые группы, на которые прямо или косвенно может повлиять предлагаемый проект закона, дать им качественную и количественную характеристику, а также проанализировать все ожидаемые для них последствия (положительные и отрицательные)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Население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Количественная оценка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выгод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издержек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II. Субъекты предпринимательства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Количественная оценка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выгод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издержек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III. Государство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Количественная оценка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выгод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издержек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*примеры возможных расчетов для данных разделов находятся в разделе 3 методических рекомендаций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Реализационные риски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(негативные последствия, потенциальные сложности, обстоятельства, которые могут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помешать достижению целей проекта закона при его реализации)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Средства достижения цели и задач проекта закона (отражаются средства достижения и предполагаемая сумма в рамках утвержденной бюджетной программы, дополнительного финансирования сверх утвержденных сумм или средства, выделенные из других источников. При этом указываются источники финансирования: республиканский, местные бюджеты, Национальный фонд и иные источники, а также потери бюджета в случаях отмены или понижения ставок налогов и других обязательных платежей в бюджет, введения налоговых льгот, вычетов и др.)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2460"/>
              <w:gridCol w:w="2460"/>
              <w:gridCol w:w="2460"/>
              <w:gridCol w:w="2460"/>
              <w:gridCol w:w="2460"/>
            </w:tblGrid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Республиканский бюджет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Местный бюджет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Национальный фонд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Иные источники (название источника)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Сумма в рамках запланированной бюджетной программы (название)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Сумма дополнительно выделенных средств из бюджета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Сумма, выделенная из других источников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Потери бюджета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Результаты публичного обсуждения проекта закона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Приложение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(дополнительные материалы для иллюстрации результатов анализа)</w:t>
            </w:r>
          </w:p>
        </w:tc>
      </w:tr>
    </w:tbl>
    <w:p>
      <w:pPr>
        <w:spacing w:after="0"/>
        <w:ind w:left="0"/>
        <w:jc w:val="both"/>
      </w:pPr>
      <w:bookmarkStart w:name="z117" w:id="83"/>
      <w:r>
        <w:rPr>
          <w:rFonts w:ascii="Times New Roman"/>
          <w:b w:val="false"/>
          <w:i w:val="false"/>
          <w:color w:val="000000"/>
          <w:sz w:val="28"/>
        </w:rPr>
        <w:t>
      Ф.И.О. (при наличии) _____________________________________________________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курирующего заместителя руководителя государственного органа-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разработчика проекта закона/депутата/депутатов Курултая, инициировавшего(их)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разработку проекта закона/члена/членов Қазақстан Халық Кеңесі)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