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da01" w14:textId="724d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национального или международного технического аудита центрами обработки данных и требований к центрам обработки данных, используемых для размещения цифровых объектов, содержащих государственные цифровые данные, данные ограниченного доступа или критически важных цифровых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18 июня 2026 года № 327/НҚ. Зарегистрирован в Министерстве юстиции Республики Казахстан 19 июня 2026 года № 38997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национального или международного технического аудита центрами обработки данных;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центрам обработки данных, используемых для размещения цифровых объектов, содержащих государственные цифровые данные, данные ограниченного доступа или критически важных цифровых объектов.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2024 года № 613/НҚ "Об утверждении Правил организации деятельности центра обработки данных и проведения международного или национального технического аудита" (зарегистрирован в Реестре государственной регистрации нормативных правовых актов за № 35169).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327/НҚ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национального или международного технического аудита центрами обработки данных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национального или международного технического аудита центрами обработки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Цифрового кодекса Республики Казахстан (далее – Кодекс) и определяют прохождение национального или международного технического аудита центрами обработки данных.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технический аудит центра обработки данных проводится в целях оценки уровня надежности, отказоустойчивости, безопасности и готовности инфраструктуры центра обработки данных к обеспечению бесперебойного функционирования цифровых объектов и цифровых систем, в том числе критически важных цифровых объектов.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технический аудит центра обработки данных направлен на подтверждение соответствия инфраструктуры центра обработки данных требованиям к инженерной, энергетической, телекоммуникационной и технологической устойчивости, включая наличие систем резервирования, бесперебойного электроснабжения, охлаждения, физической безопасности и кибербезопасности.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национального технического аудита центра обработки данных обеспечивает: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уровня надежности центра обработки данных;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способности центра обработки данных обеспечивать непрерывность функционирования размещаемых цифровых систем;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инфраструктурных и технических несоответствий, влияющих на устойчивость функционирования центра обработки данных.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–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связи (далее – уполномоченный орган)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обработки данных (далее – ЦОД) – объект цифровой инфраструктуры, предназначенный для размещения и обеспечения среды функционирования иных цифровых объектов посредством технологических, инженерных, технических средств и программного обеспечения;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центра обработки данных - юридическое лицо, зарегистрированное на территории Республики Казахстан или физическое лицо, получающее во временное владение и пользование центра обработки данных;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собственник центра обработки данных – юридическое лицо, зарегистрированное на территории Республики Казахстан или физическое лицо, имеющее на праве собственности центра обработки данных;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классификация уровней надежности центра обработки данных (далее – классификация ЦОД по уровню) – стандартизированная система ранжирования, используемая для классификации центра обработки данных на основе времени его простоя, безотказной работы и надежности;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технический аудит центра обработки данных – добровольная оценка надежности центра обработки данных;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обеспечения кибербезопасности (далее – ЦОКБ) – юридическое лицо или структурное подразделение юридического лица, являющееся резидентом Республики Казахстан без участия иностранных юридических и физических лиц, осуществляющее деятельность по защите цифровых объектов;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международная компания — юридическое лицо, осуществляющее деятельность по международному техническому аудиту и оценке инфраструктуры центра обработки данных, включая оценку соответствия международным стандартам;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международный технический аудит — добровольная оценка надежности центра обработки данных на соответствие международным стандартам и регламентам;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цифровые данные — информация, предоставленная в цифровой форме и пригодная для автоматизированного и (или) аналитического сбора, хранения, обработки, использования, передачи, распространения или удаления независимо от способа ее получения и формы цифрового предоставления;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цифровая системы —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цифровая среда — совокупность инфраструктуры, технологий, процессов и условий для создания, обращения, хранения, передачи и использования цифровых данных и цифровых объектов, осуществления и передачи прав на них вне зависимости от территории их размещения или регистрации прав в части, затрагивающей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общественные отношения.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национального технического аудита центрами обработки данных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или собственником ЦОД после введения в эксплуатацию ЦОД проводится национальный технический аудит ЦОД.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национального технического аудита ЦОД собственник или владелец ЦОД направляет в ЦОКБ заявление о проведении национального технического аудита ЦОД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интернет-ресурса ЦОКБ (при его наличии), электронной почты или почтовой связи с приложением следующих документов: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местонахождении ЦОД;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инженерной, энергетической, телекоммуникационной и технологической инфраструктурой, обеспечивающей его бесперебойное, отказоустойчивое и безопасное функционирование;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системе электроснабжения, охлаждения, связи и резервирования.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ЦОКБ в течение 5 (пяти) рабочих дней с момента получения документов осуществляет их предварительное рассмотрение на предмет полноты и достоверности.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неполноты представленных документов либо недостоверности содержащихся в них сведений ЦОКБ направляет владельцу или собственнику ЦОД официальное письмо с уведомлением о необходимости устранения выявленных замечаний и (или) предоставления недостающих документов посредством интернет-ресурса ЦОКБ (при его наличии), электронной почты или почтовой связи.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документы и сведения представляются в течение 10 (десяти) рабочих дней со дня получения письма с уведомлением о необходимости устранения выявленных замечаний и (или) предоставления недостающих документов.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документов в установленный срок заявление остается без рассмотрения.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национального технического аудита ЦОД составляет не более 10 (десяти) рабочих дней со дня принятия полного пакета документов к рассмотрению.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национального технического аудита ЦОД ЦОКБ выдает заключение о классификации ЦОД по уровню в соответствии с формой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проведения национального технического аудита ЦОД ЦОКБ направляет в уполномоченный орган официальное письмо с приложением сведений о результатах национального технического аудита ЦОД: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ЦОД;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присвоенный уровень надежности;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выявленные несоответствия (при их наличии);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проведения национального технического аудита ЦОД.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направляются в течение 3 (трех) рабочих дней со дня выдачи заключения о классификации ЦОД по уровню.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или владелец ЦОД размещает на своем интернет-ресурсе информацию о результатах национального технического аудита ЦОД в течение 5 (пяти) рабочих дней.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Публикуемая информация о результатах национального технического аудита ЦОД включает: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прохождения или непрохождения национального технического аудита ЦОД;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надежности ЦОД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проведения национального технического аудита ЦОД.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Повторное заявление на проведение национального технического аудита ЦОД направляется в ЦОКБ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собственником или владельцем ЦОД в течение 15 (пятнадцати) календарных дней после завершения модернизации инфраструктуры ЦОД либо устранения ранее выявленных несоответствий.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международного технического аудита центрами обработки данных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введения в эксплуатацию ЦОД проводится международный технический аудит ЦОД на добровольной основе.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Собственник или владелец ЦОД заключает договор на проведение международного технического аудита ЦОД с международной компанией.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Международный технический аудит проводится на основании технической документации, сведений об инженерной и телекоммуникационной инфраструктуре, системах резервирования, электроснабжения, охлаждения, физической безопасности и кибербезопасности ЦОД.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Собственник или владелец ЦОД обеспечивает международной компании доступ к сведениям и документации, необходимым для проведения международного технического аудита ЦОД.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международного технического аудита ЦОД международная компания выдает заключение о классификации ЦОД по уровню.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Собственник или владелец ЦОД размещает на своем интернет-ресурсе информацию о прохождении либо непрохождении международного технического аудита ЦОД в течение 5 (пяти) рабочих дней со дня получения заключения о классификации ЦОД по уровню.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модернизации инфраструктуры ЦОД, изменения уровня надежности либо устранения ранее выявленных несоответствий повторный международный технический аудит ЦОД проводится по инициативе собственника или владельца ЦОД в течение 15 (пятнадцати) календарных дней.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Публикуемая информация о результатах международного технического аудита ЦОД включает: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прохождения или непрохождения международного технического аудита ЦОД;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надежности ЦОД (при его наличии);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проведения международного технического аудита ЦОД.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или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обработки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национального технического аудита центра обработки данных</w:t>
      </w:r>
    </w:p>
    <w:bookmarkEnd w:id="72"/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1. Наименование собственника или владельца центра обработки данных: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3" w:id="74"/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номер/индивидуальный идентификационный номер: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</w:t>
      </w:r>
    </w:p>
    <w:bookmarkEnd w:id="75"/>
    <w:p>
      <w:pPr>
        <w:spacing w:after="0"/>
        <w:ind w:left="0"/>
        <w:jc w:val="both"/>
      </w:pPr>
      <w:bookmarkStart w:name="z85" w:id="76"/>
      <w:r>
        <w:rPr>
          <w:rFonts w:ascii="Times New Roman"/>
          <w:b w:val="false"/>
          <w:i w:val="false"/>
          <w:color w:val="000000"/>
          <w:sz w:val="28"/>
        </w:rPr>
        <w:t>
      4. Контактные данные (телефон, электронная почта):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6" w:id="77"/>
      <w:r>
        <w:rPr>
          <w:rFonts w:ascii="Times New Roman"/>
          <w:b w:val="false"/>
          <w:i w:val="false"/>
          <w:color w:val="000000"/>
          <w:sz w:val="28"/>
        </w:rPr>
        <w:t>
      5. Наименование и местонахождение центра обработки данных: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6. Краткие сведения об инфраструктуре центра обработки данных: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прилагаемых документов: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________________________________________________________________.</w:t>
      </w:r>
    </w:p>
    <w:bookmarkEnd w:id="82"/>
    <w:p>
      <w:pPr>
        <w:spacing w:after="0"/>
        <w:ind w:left="0"/>
        <w:jc w:val="both"/>
      </w:pPr>
      <w:bookmarkStart w:name="z92" w:id="83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сведений и документов.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"__" __________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или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обработки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классификации центра обработки данных по уровню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центре обработки данных:</w:t>
      </w:r>
    </w:p>
    <w:bookmarkEnd w:id="85"/>
    <w:p>
      <w:pPr>
        <w:spacing w:after="0"/>
        <w:ind w:left="0"/>
        <w:jc w:val="both"/>
      </w:pPr>
      <w:bookmarkStart w:name="z97" w:id="86"/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98" w:id="87"/>
      <w:r>
        <w:rPr>
          <w:rFonts w:ascii="Times New Roman"/>
          <w:b w:val="false"/>
          <w:i w:val="false"/>
          <w:color w:val="000000"/>
          <w:sz w:val="28"/>
        </w:rPr>
        <w:t>
      2. Год создания: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3. Адрес: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район, улица, номер дома, телефон)</w:t>
      </w:r>
    </w:p>
    <w:p>
      <w:pPr>
        <w:spacing w:after="0"/>
        <w:ind w:left="0"/>
        <w:jc w:val="both"/>
      </w:pPr>
      <w:bookmarkStart w:name="z100" w:id="89"/>
      <w:r>
        <w:rPr>
          <w:rFonts w:ascii="Times New Roman"/>
          <w:b w:val="false"/>
          <w:i w:val="false"/>
          <w:color w:val="000000"/>
          <w:sz w:val="28"/>
        </w:rPr>
        <w:t>
      4. Контактные данные собственника или владельца центра обработки данных: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рабочий телефон, электронный адрес)</w:t>
      </w:r>
    </w:p>
    <w:p>
      <w:pPr>
        <w:spacing w:after="0"/>
        <w:ind w:left="0"/>
        <w:jc w:val="both"/>
      </w:pPr>
      <w:bookmarkStart w:name="z101" w:id="90"/>
      <w:r>
        <w:rPr>
          <w:rFonts w:ascii="Times New Roman"/>
          <w:b w:val="false"/>
          <w:i w:val="false"/>
          <w:color w:val="000000"/>
          <w:sz w:val="28"/>
        </w:rPr>
        <w:t>
      5. Расчетный счет: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_____________________________________________</w:t>
      </w:r>
    </w:p>
    <w:bookmarkEnd w:id="91"/>
    <w:p>
      <w:pPr>
        <w:spacing w:after="0"/>
        <w:ind w:left="0"/>
        <w:jc w:val="both"/>
      </w:pPr>
      <w:bookmarkStart w:name="z103" w:id="92"/>
      <w:r>
        <w:rPr>
          <w:rFonts w:ascii="Times New Roman"/>
          <w:b w:val="false"/>
          <w:i w:val="false"/>
          <w:color w:val="000000"/>
          <w:sz w:val="28"/>
        </w:rPr>
        <w:t>
      7. Бизнес идентификационный номер/индивидуальный идентификационный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собственника или владельца центра обработки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4" w:id="93"/>
      <w:r>
        <w:rPr>
          <w:rFonts w:ascii="Times New Roman"/>
          <w:b w:val="false"/>
          <w:i w:val="false"/>
          <w:color w:val="000000"/>
          <w:sz w:val="28"/>
        </w:rPr>
        <w:t>
      8. Тип деятельности: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серия лицензии, в случае лицензионной деятельности)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по уровням (Tier):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уровень: (отметить нужное)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I (Tier I)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II (Tier II)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III (Tier III)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IV (Tier IV)</w:t>
      </w:r>
    </w:p>
    <w:bookmarkEnd w:id="99"/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уровня: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компонентов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требованиям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проведенных тестов и испытаний: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классификации центра обработки данных по уровню: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ответственных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327/НҚ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центрам обработки данных, используемых для размещения цифровых объектов, содержащих государственные цифровые данные, данные ограниченного доступа или критически важных цифровых объектов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Центры обработки данных (далее – ЦОД), используемые для размещения цифровых объектов, содержащих государственные цифровые данные, данные ограниченного доступа или критически важных цифровых объектов (далее – КВЦО) размещаются на территории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Размещение данных, содержащих государственные цифровые данные, данные ограниченного доступа или КВЦО за пределами Республики Казахстан допускается в случаях и порядке, предусмотренных законами Республики Казахстан или международными договорами, ратифицированными Республикой Казахстан.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цифровых объектов КВЦО, государственных цифровых данных или данных ограниченного доступа допускается в ЦОД, подтвердивших свою надежность путем прохождения национального или международного технического аудита ЦОД.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прохождения национального или международного технического аудита ЦОД направляются владельцем или собственником ЦОД КВЦО в уполномоченный орган в течение 5 (пяти) рабочих дней со дня получения заключения о классификации ЦОД по уровню.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ЦОД КВЦО обеспечивают круглосуточное функционирование инженерной и технологической инфраструктуры, резервирование критически важных цифровых систем, контроль физического и логического доступа, автоматическое переключение на резервные источники питания, автономную работу не менее 72 (семидесяти двух) часов, функционирование систем бесперебойного питания, поддержание температурного режима в диапазоне от +18°C до +27°C и относительной влажности воздуха в диапазоне от 40 до 60 процентов, использование резервируемых систем кондиционирования и охлаждения, наличие автоматических систем раннего обнаружения пожара, систем газового пожаротушения и резервных систем дымоудаления, а также наличие систем защиты информации и не менее двух независимых вводов электропитания.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ЦОД размещаются в отдельно стоящих зданиях и (или) сооружениях или специально оборудованной части здания, защищенной от природных катастроф (землетрясений, наводнений и других опасных природных явлений), с надлежащей гидроизоляцией и вентиляцией для поддержания оптимальных условий работы вычислительного и телекоммуникационного оборудования, наличие системы пожарной безопасности, включающей автоматическое обнаружение и тушение пожара, наличием системы контроля доступа и видеонаблюдения для обеспечения физической безопасности.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ЦОД оснащаются прецизионными системами для поддержания оптимальной температуры и влажности.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Резервные системы охлаждения предусматриваются для предотвращения перегрева вычислительного и телекоммуникационного оборудования в случае отказа основной системы.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и управление доступом в помещения ЦОД КВЦО осуществляются с использованием цифровых систем идентификации, регистрации и мониторинга действий пользователей и обслуживающего персонала.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 или владелец ЦОД КВЦО: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постоянный мониторинг событий безопасности;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и поддерживает в актуальном состоянии план реагирования на инциденты кибербезопасности.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ЦОД классифицируются по уровням и делятся на: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I (Tier I) – 99,671% или 1729 (одна тысяча семьсот двадцать девять) минут простоя за год.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I (Tier I) является базовым уровнем пропускной способности инфраструктуры для поддержки цифровых технологий.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I (Tier I) включает: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резервирования N*) отказы оборудования или ремонтные работы приводят к остановке работы ЦОД. В ЦОД отсутствуют фальшполы, резервные источники электроснабжения и источники бесперебойного питания. Инженерная инфраструктура не зарезервирована;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II (Tier II) – 99,741% или 1361 (одна тысяча триста шестьдесят одна) минута простоя за год.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II (Tier II) обеспечивает питание и охлаждение, гарантирующее более высокое качество обслуживания и безопасность при сбоях.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II (Tier II) включает: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резервирования – N + 1) минимальный уровень резервирования, в ЦОД обязательно имеются фальшполы и резервные источники электроснабжения и охлаждения, однако проведение ремонтных работ также вызывает остановку работы ЦОД;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III (Tier III) – 99,982% или 95 (девяносто пять) минут простоя за год.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III (Tier III) – уровень надежности, характеризующийся возможностью проведения технического обслуживания компонентов инженерных систем без остановки функционирования ЦОД (параллельное обслуживание). Для активного оборудования применяется схема резервирования не менее N + 1, для потоков распределения (путей подачи питания и охлаждения) — не менее 2N. Допускается проведение любых регламентных и ремонтных работ, включая замену компонентов системы, добавление или удаление оборудования, без прерывания работы ЦОД;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IV (Tier IV) – 99,995% или 26 (двадцать шесть) минут простоя за год.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IV (Tier IV) (схема резервирования – 2∙(N + 1)) – имеется возможность проведения любых работ без остановки работы ЦОД, инженерные системы двукратно зарезервированы, продублированы как основная, так и дополнительная системы.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Необходимость (от английского слова need) – необходимое определенное количество единиц оборудования и систем, без которого ЦОД не сможет штатно функционировать.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