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051be" w14:textId="30051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заключения об устранении выявленных нарушений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28 мая 2026 года № 261. Зарегистрирован в Министерстве юстиции Республики Казахстан 29 мая 2026 года № 38815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Строительного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 об устранении выявленных нарушений.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Настоящий приказ вводится в действие с 1 июля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2026 года № 261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Заключения</w:t>
      </w:r>
      <w:r>
        <w:br/>
      </w:r>
      <w:r>
        <w:rPr>
          <w:rFonts w:ascii="Times New Roman"/>
          <w:b/>
          <w:i w:val="false"/>
          <w:color w:val="000000"/>
        </w:rPr>
        <w:t>об устранении выявленных нарушений "___" ________ 20___ года № _____</w:t>
      </w:r>
    </w:p>
    <w:bookmarkEnd w:id="7"/>
    <w:p>
      <w:pPr>
        <w:spacing w:after="0"/>
        <w:ind w:left="0"/>
        <w:jc w:val="both"/>
      </w:pPr>
      <w:bookmarkStart w:name="z16" w:id="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контроля и надзора по делам архитектуры, градостроительства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строительства)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Строительного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(далее – Кодекс) направляет Вам,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(для юридических лиц Республики Казахстан без иностранного участия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наименование, бизнес-идентификационный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граждан Республики Казахстан –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номер) настоящее заключение об устранении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нарушений требований строительного законодательства Республики Казахстан (далее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– заключение), выдаваемое субъекту профилактического контроля (далее – субъект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субъекта контроля: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 в городе, поселок, село, улица, микрорайон, квартал, переулок, проспект,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 (здания), офиса)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результатам профилактического контроля без посещения субъекта (объекта)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выявлены следующие нарушения: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характер нарушений в сфере архитектуры, градостроительства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Порядок устранения выявленных нарушений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строительный инспектор по осуществлению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архитектурно-строительного контроля и надзора: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получил (-а)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физического лица,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либо его уполномоченного лица,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вручено субъекту контроля: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государственного инспектора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осуществлению архитектурно-строительного контроля и надзора,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отправлено субъекту контроля: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(документ, подтверждающий факт отправки и получения)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