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b458" w14:textId="8c5b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нормативное постановление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26 мая 2026 года № 5-НҚ. Зарегистрировано в Министерстве юстиции Республики Казахстан 28 мая 2026 года № 38811</w:t>
      </w:r>
    </w:p>
    <w:p>
      <w:pPr>
        <w:spacing w:after="0"/>
        <w:ind w:left="0"/>
        <w:jc w:val="both"/>
      </w:pPr>
      <w:bookmarkStart w:name="z4" w:id="0"/>
      <w:r>
        <w:rPr>
          <w:rFonts w:ascii="Times New Roman"/>
          <w:b w:val="false"/>
          <w:i w:val="false"/>
          <w:color w:val="000000"/>
          <w:sz w:val="28"/>
        </w:rPr>
        <w:t>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903.</w:t>
      </w:r>
      <w:r>
        <w:rPr>
          <w:rFonts w:ascii="Times New Roman"/>
          <w:b w:val="false"/>
          <w:i w:val="false"/>
          <w:color w:val="000000"/>
          <w:sz w:val="28"/>
        </w:rPr>
        <w:t xml:space="preserve"> Процедурном стандарте внешнего государственного аудита и финансового контроля по проведению экспертно-аналитического мероприятия органами внешнего государственного аудита и финансового контроля, утвержденном указанным нормативным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"6. Положения настоящего Стандарта не распространяются на проведение и подготовку заключений в рамках предварительной, текущей и последующей оценки, осуществление которых регламентировано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декабря 2016 года № 388 "Об утверждении Правил проведения предварительной оценки проекта республиканского бюджета по основным направлениям его расходов", </w:t>
      </w:r>
      <w:r>
        <w:rPr>
          <w:rFonts w:ascii="Times New Roman"/>
          <w:b w:val="false"/>
          <w:i w:val="false"/>
          <w:color w:val="000000"/>
          <w:sz w:val="28"/>
        </w:rPr>
        <w:t>Процедурным стандартом</w:t>
      </w:r>
      <w:r>
        <w:rPr>
          <w:rFonts w:ascii="Times New Roman"/>
          <w:b w:val="false"/>
          <w:i w:val="false"/>
          <w:color w:val="000000"/>
          <w:sz w:val="28"/>
        </w:rPr>
        <w:t xml:space="preserve">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 и Процедурным стандартом внешнего государственного аудита и финансового контроля по осуществлению последующей оценки исполнения республиканского бюджета, утвержденных нормативным постановлением Счетного комитета по контролю за исполнением республиканского бюджета (далее – Счетный комитет) от 31 марта 2016 года № 5-НҚ (зарегистрировано в Реестре государственной регистрации нормативных правовых актов № 13647).";</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7 изложить в следующей редакции:</w:t>
      </w:r>
    </w:p>
    <w:bookmarkStart w:name="z10" w:id="4"/>
    <w:p>
      <w:pPr>
        <w:spacing w:after="0"/>
        <w:ind w:left="0"/>
        <w:jc w:val="both"/>
      </w:pPr>
      <w:r>
        <w:rPr>
          <w:rFonts w:ascii="Times New Roman"/>
          <w:b w:val="false"/>
          <w:i w:val="false"/>
          <w:color w:val="000000"/>
          <w:sz w:val="28"/>
        </w:rPr>
        <w:t>
      "4) результативность – организация экспертно-аналитического мероприятия должна обеспечивать выработку на его основе рекомендаций по предмету экспертно-аналитического мероприятия, направленных на повышение эффективности его развития и (или) его вклада в экономику страны или отдельно взятой сферы экономики, региона, социальной сферы;</w:t>
      </w:r>
    </w:p>
    <w:bookmarkEnd w:id="4"/>
    <w:bookmarkStart w:name="z11" w:id="5"/>
    <w:p>
      <w:pPr>
        <w:spacing w:after="0"/>
        <w:ind w:left="0"/>
        <w:jc w:val="both"/>
      </w:pPr>
      <w:r>
        <w:rPr>
          <w:rFonts w:ascii="Times New Roman"/>
          <w:b w:val="false"/>
          <w:i w:val="false"/>
          <w:color w:val="000000"/>
          <w:sz w:val="28"/>
        </w:rPr>
        <w:t>
      5) обоснованность – формирование предложений с наличием максимального количества аргументов в пользу сделанных рекомендаций.";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 изложить в следующей редакции:</w:t>
      </w:r>
    </w:p>
    <w:bookmarkStart w:name="z13" w:id="6"/>
    <w:p>
      <w:pPr>
        <w:spacing w:after="0"/>
        <w:ind w:left="0"/>
        <w:jc w:val="both"/>
      </w:pPr>
      <w:r>
        <w:rPr>
          <w:rFonts w:ascii="Times New Roman"/>
          <w:b w:val="false"/>
          <w:i w:val="false"/>
          <w:color w:val="000000"/>
          <w:sz w:val="28"/>
        </w:rPr>
        <w:t>
      "2) выявленных:</w:t>
      </w:r>
    </w:p>
    <w:bookmarkEnd w:id="6"/>
    <w:bookmarkStart w:name="z14" w:id="7"/>
    <w:p>
      <w:pPr>
        <w:spacing w:after="0"/>
        <w:ind w:left="0"/>
        <w:jc w:val="both"/>
      </w:pPr>
      <w:r>
        <w:rPr>
          <w:rFonts w:ascii="Times New Roman"/>
          <w:b w:val="false"/>
          <w:i w:val="false"/>
          <w:color w:val="000000"/>
          <w:sz w:val="28"/>
        </w:rPr>
        <w:t>
      ухудшений показателей социально-экономического развития, отраслей, сфер экономики регионов;</w:t>
      </w:r>
    </w:p>
    <w:bookmarkEnd w:id="7"/>
    <w:bookmarkStart w:name="z15" w:id="8"/>
    <w:p>
      <w:pPr>
        <w:spacing w:after="0"/>
        <w:ind w:left="0"/>
        <w:jc w:val="both"/>
      </w:pPr>
      <w:r>
        <w:rPr>
          <w:rFonts w:ascii="Times New Roman"/>
          <w:b w:val="false"/>
          <w:i w:val="false"/>
          <w:color w:val="000000"/>
          <w:sz w:val="28"/>
        </w:rPr>
        <w:t>
      системных недостатков и рисков по итогам оценки планирования и исполнения бюджета.";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"12. Целью проведения экспертно-аналитического мероприятия является оценка текущей ситуации по предмету экспертно-аналитического мероприятия, с определением ключевых факторов, оказывающих влияние на эффективность реализации государственной политики в рассматриваемой сфере с разработкой рекомендации.</w:t>
      </w:r>
    </w:p>
    <w:bookmarkEnd w:id="9"/>
    <w:bookmarkStart w:name="z18" w:id="10"/>
    <w:p>
      <w:pPr>
        <w:spacing w:after="0"/>
        <w:ind w:left="0"/>
        <w:jc w:val="both"/>
      </w:pPr>
      <w:r>
        <w:rPr>
          <w:rFonts w:ascii="Times New Roman"/>
          <w:b w:val="false"/>
          <w:i w:val="false"/>
          <w:color w:val="000000"/>
          <w:sz w:val="28"/>
        </w:rPr>
        <w:t>
      13. Определение факторов обеспечивается путем формирования целостной картины с целью установления причинно-следственных связей или оценки дальнейшего развития ситуации в рассматриваемой сфере.";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3 пункта 15 изложить в следующей редакции:</w:t>
      </w:r>
    </w:p>
    <w:bookmarkStart w:name="z20" w:id="11"/>
    <w:p>
      <w:pPr>
        <w:spacing w:after="0"/>
        <w:ind w:left="0"/>
        <w:jc w:val="both"/>
      </w:pPr>
      <w:r>
        <w:rPr>
          <w:rFonts w:ascii="Times New Roman"/>
          <w:b w:val="false"/>
          <w:i w:val="false"/>
          <w:color w:val="000000"/>
          <w:sz w:val="28"/>
        </w:rPr>
        <w:t>
      "1) формирование проекта заключения экспертно-аналитического мероприятия с отражением рекомендаций;";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xml:space="preserve">
      "19. В процессе планирования группой экспертно-аналитического мероприятия разрабатывается программа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отражающая основные вопросы, предлагаемые к изучению, с их ранжированием по ответственным исполнителям из числа сформированной группы, сроки его проведения.</w:t>
      </w:r>
    </w:p>
    <w:bookmarkEnd w:id="12"/>
    <w:bookmarkStart w:name="z23" w:id="13"/>
    <w:p>
      <w:pPr>
        <w:spacing w:after="0"/>
        <w:ind w:left="0"/>
        <w:jc w:val="both"/>
      </w:pPr>
      <w:r>
        <w:rPr>
          <w:rFonts w:ascii="Times New Roman"/>
          <w:b w:val="false"/>
          <w:i w:val="false"/>
          <w:color w:val="000000"/>
          <w:sz w:val="28"/>
        </w:rPr>
        <w:t>
      Программа экспертно-аналитического мероприятия подписывается руководителем структурного подразделения, ответственного за проведение экспертно-аналитического мероприятия и направляется на согласование и утверждение члену Высшей аудиторской палаты (Ревизионной комиссии), ответственному за его проведение.</w:t>
      </w:r>
    </w:p>
    <w:bookmarkEnd w:id="13"/>
    <w:bookmarkStart w:name="z24" w:id="14"/>
    <w:p>
      <w:pPr>
        <w:spacing w:after="0"/>
        <w:ind w:left="0"/>
        <w:jc w:val="both"/>
      </w:pPr>
      <w:r>
        <w:rPr>
          <w:rFonts w:ascii="Times New Roman"/>
          <w:b w:val="false"/>
          <w:i w:val="false"/>
          <w:color w:val="000000"/>
          <w:sz w:val="28"/>
        </w:rPr>
        <w:t xml:space="preserve">
      При возникновении в ходе экспертно-аналитического мероприятия вопросов не охваченных программой, но необходимых для полного изучения, участники состава группы, по согласованию с руководителем группы, информируют в письменном виде члена Высшей аудиторской палаты (Ревизионной комиссии), ответственного за его проведение. </w:t>
      </w:r>
    </w:p>
    <w:bookmarkEnd w:id="14"/>
    <w:bookmarkStart w:name="z25" w:id="15"/>
    <w:p>
      <w:pPr>
        <w:spacing w:after="0"/>
        <w:ind w:left="0"/>
        <w:jc w:val="both"/>
      </w:pPr>
      <w:r>
        <w:rPr>
          <w:rFonts w:ascii="Times New Roman"/>
          <w:b w:val="false"/>
          <w:i w:val="false"/>
          <w:color w:val="000000"/>
          <w:sz w:val="28"/>
        </w:rPr>
        <w:t>
      В случае признания целесообразности проведения экспертно-аналитического мероприятия по неохваченным программой вопроса, член Высшей аудиторской палаты (Ревизионной комиссии) ответственный за его проведение дает руководителю группы соответствующее поручение, с внесением дополнений в программу.";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"23. Сбор информации продолжается на всех этапах формирования экспертно- аналитического заключения в целях уточнения определенных данных и усиления рекомендаций.</w:t>
      </w:r>
    </w:p>
    <w:bookmarkEnd w:id="16"/>
    <w:bookmarkStart w:name="z28" w:id="17"/>
    <w:p>
      <w:pPr>
        <w:spacing w:after="0"/>
        <w:ind w:left="0"/>
        <w:jc w:val="both"/>
      </w:pPr>
      <w:r>
        <w:rPr>
          <w:rFonts w:ascii="Times New Roman"/>
          <w:b w:val="false"/>
          <w:i w:val="false"/>
          <w:color w:val="000000"/>
          <w:sz w:val="28"/>
        </w:rPr>
        <w:t>
      24. В ходе проведения экспертно-аналитического мероприятия формируются материалы в целях:</w:t>
      </w:r>
    </w:p>
    <w:bookmarkEnd w:id="17"/>
    <w:bookmarkStart w:name="z29" w:id="18"/>
    <w:p>
      <w:pPr>
        <w:spacing w:after="0"/>
        <w:ind w:left="0"/>
        <w:jc w:val="both"/>
      </w:pPr>
      <w:r>
        <w:rPr>
          <w:rFonts w:ascii="Times New Roman"/>
          <w:b w:val="false"/>
          <w:i w:val="false"/>
          <w:color w:val="000000"/>
          <w:sz w:val="28"/>
        </w:rPr>
        <w:t>
      изучения предмета и объектов экспертно-аналитического мероприятия;</w:t>
      </w:r>
    </w:p>
    <w:bookmarkEnd w:id="18"/>
    <w:bookmarkStart w:name="z30" w:id="19"/>
    <w:p>
      <w:pPr>
        <w:spacing w:after="0"/>
        <w:ind w:left="0"/>
        <w:jc w:val="both"/>
      </w:pPr>
      <w:r>
        <w:rPr>
          <w:rFonts w:ascii="Times New Roman"/>
          <w:b w:val="false"/>
          <w:i w:val="false"/>
          <w:color w:val="000000"/>
          <w:sz w:val="28"/>
        </w:rPr>
        <w:t>
      подтверждения результатов экспертно-аналитического мероприятия;</w:t>
      </w:r>
    </w:p>
    <w:bookmarkEnd w:id="19"/>
    <w:bookmarkStart w:name="z31" w:id="20"/>
    <w:p>
      <w:pPr>
        <w:spacing w:after="0"/>
        <w:ind w:left="0"/>
        <w:jc w:val="both"/>
      </w:pPr>
      <w:r>
        <w:rPr>
          <w:rFonts w:ascii="Times New Roman"/>
          <w:b w:val="false"/>
          <w:i w:val="false"/>
          <w:color w:val="000000"/>
          <w:sz w:val="28"/>
        </w:rPr>
        <w:t>
      обеспечения качества экспертно- аналитического мероприятия;</w:t>
      </w:r>
    </w:p>
    <w:bookmarkEnd w:id="20"/>
    <w:bookmarkStart w:name="z32" w:id="21"/>
    <w:p>
      <w:pPr>
        <w:spacing w:after="0"/>
        <w:ind w:left="0"/>
        <w:jc w:val="both"/>
      </w:pPr>
      <w:r>
        <w:rPr>
          <w:rFonts w:ascii="Times New Roman"/>
          <w:b w:val="false"/>
          <w:i w:val="false"/>
          <w:color w:val="000000"/>
          <w:sz w:val="28"/>
        </w:rPr>
        <w:t>
      подтверждения выполнения сотрудниками органа внешнего государственного аудита и экспертами программы экспертно-аналитического мероприятия.</w:t>
      </w:r>
    </w:p>
    <w:bookmarkEnd w:id="21"/>
    <w:bookmarkStart w:name="z33" w:id="22"/>
    <w:p>
      <w:pPr>
        <w:spacing w:after="0"/>
        <w:ind w:left="0"/>
        <w:jc w:val="both"/>
      </w:pPr>
      <w:r>
        <w:rPr>
          <w:rFonts w:ascii="Times New Roman"/>
          <w:b w:val="false"/>
          <w:i w:val="false"/>
          <w:color w:val="000000"/>
          <w:sz w:val="28"/>
        </w:rPr>
        <w:t>
      В состав указанных материалов включаются документы, послужившие основанием для зафиксированных в экспертно-аналитическом заключении рекомендаций.</w:t>
      </w:r>
    </w:p>
    <w:bookmarkEnd w:id="22"/>
    <w:bookmarkStart w:name="z34" w:id="23"/>
    <w:p>
      <w:pPr>
        <w:spacing w:after="0"/>
        <w:ind w:left="0"/>
        <w:jc w:val="both"/>
      </w:pPr>
      <w:r>
        <w:rPr>
          <w:rFonts w:ascii="Times New Roman"/>
          <w:b w:val="false"/>
          <w:i w:val="false"/>
          <w:color w:val="000000"/>
          <w:sz w:val="28"/>
        </w:rPr>
        <w:t>
      Ссылка на реквизиты и источник информации, из сформированных материалов, используемых в экспертно-аналитическом заключении, обязательна.";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27 изложить в следующей редакции:</w:t>
      </w:r>
    </w:p>
    <w:bookmarkStart w:name="z36" w:id="24"/>
    <w:p>
      <w:pPr>
        <w:spacing w:after="0"/>
        <w:ind w:left="0"/>
        <w:jc w:val="both"/>
      </w:pPr>
      <w:r>
        <w:rPr>
          <w:rFonts w:ascii="Times New Roman"/>
          <w:b w:val="false"/>
          <w:i w:val="false"/>
          <w:color w:val="000000"/>
          <w:sz w:val="28"/>
        </w:rPr>
        <w:t>
      "3) резолютивная часть:</w:t>
      </w:r>
    </w:p>
    <w:bookmarkEnd w:id="24"/>
    <w:bookmarkStart w:name="z37" w:id="25"/>
    <w:p>
      <w:pPr>
        <w:spacing w:after="0"/>
        <w:ind w:left="0"/>
        <w:jc w:val="both"/>
      </w:pPr>
      <w:r>
        <w:rPr>
          <w:rFonts w:ascii="Times New Roman"/>
          <w:b w:val="false"/>
          <w:i w:val="false"/>
          <w:color w:val="000000"/>
          <w:sz w:val="28"/>
        </w:rPr>
        <w:t>
      рекомендации по экспертно-аналитическому мероприятию, позволяющие скорректировать имеющуюся ситуацию в сторону улучшения ее основных показателей и повышения эффективности происходящих процессов.";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28 изложить в следующей редакции:</w:t>
      </w:r>
    </w:p>
    <w:bookmarkStart w:name="z39" w:id="26"/>
    <w:p>
      <w:pPr>
        <w:spacing w:after="0"/>
        <w:ind w:left="0"/>
        <w:jc w:val="both"/>
      </w:pPr>
      <w:r>
        <w:rPr>
          <w:rFonts w:ascii="Times New Roman"/>
          <w:b w:val="false"/>
          <w:i w:val="false"/>
          <w:color w:val="000000"/>
          <w:sz w:val="28"/>
        </w:rPr>
        <w:t>
      "2) рекомендации должны быть аргументированы и подтверждаться материалами экспертно-аналитического мероприятия;";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 </w:t>
      </w:r>
    </w:p>
    <w:bookmarkStart w:name="z41" w:id="27"/>
    <w:p>
      <w:pPr>
        <w:spacing w:after="0"/>
        <w:ind w:left="0"/>
        <w:jc w:val="both"/>
      </w:pPr>
      <w:r>
        <w:rPr>
          <w:rFonts w:ascii="Times New Roman"/>
          <w:b w:val="false"/>
          <w:i w:val="false"/>
          <w:color w:val="000000"/>
          <w:sz w:val="28"/>
        </w:rPr>
        <w:t>
      "29. Текстовый формат экспертно-аналитического заключения оформляется в соответствии со следующими требованиями:</w:t>
      </w:r>
    </w:p>
    <w:bookmarkEnd w:id="27"/>
    <w:bookmarkStart w:name="z42" w:id="28"/>
    <w:p>
      <w:pPr>
        <w:spacing w:after="0"/>
        <w:ind w:left="0"/>
        <w:jc w:val="both"/>
      </w:pPr>
      <w:r>
        <w:rPr>
          <w:rFonts w:ascii="Times New Roman"/>
          <w:b w:val="false"/>
          <w:i w:val="false"/>
          <w:color w:val="000000"/>
          <w:sz w:val="28"/>
        </w:rPr>
        <w:t>
      шрифт – TimesNewRoman;</w:t>
      </w:r>
    </w:p>
    <w:bookmarkEnd w:id="28"/>
    <w:bookmarkStart w:name="z43" w:id="29"/>
    <w:p>
      <w:pPr>
        <w:spacing w:after="0"/>
        <w:ind w:left="0"/>
        <w:jc w:val="both"/>
      </w:pPr>
      <w:r>
        <w:rPr>
          <w:rFonts w:ascii="Times New Roman"/>
          <w:b w:val="false"/>
          <w:i w:val="false"/>
          <w:color w:val="000000"/>
          <w:sz w:val="28"/>
        </w:rPr>
        <w:t>
      размер шрифта – 14, в табличных материалах – 8-12.</w:t>
      </w:r>
    </w:p>
    <w:bookmarkEnd w:id="29"/>
    <w:bookmarkStart w:name="z44" w:id="30"/>
    <w:p>
      <w:pPr>
        <w:spacing w:after="0"/>
        <w:ind w:left="0"/>
        <w:jc w:val="both"/>
      </w:pPr>
      <w:r>
        <w:rPr>
          <w:rFonts w:ascii="Times New Roman"/>
          <w:b w:val="false"/>
          <w:i w:val="false"/>
          <w:color w:val="000000"/>
          <w:sz w:val="28"/>
        </w:rPr>
        <w:t>
      Экспертно-аналитическое заключение формируется на государственном и на русском языках.</w:t>
      </w:r>
    </w:p>
    <w:bookmarkEnd w:id="30"/>
    <w:bookmarkStart w:name="z45" w:id="31"/>
    <w:p>
      <w:pPr>
        <w:spacing w:after="0"/>
        <w:ind w:left="0"/>
        <w:jc w:val="both"/>
      </w:pPr>
      <w:r>
        <w:rPr>
          <w:rFonts w:ascii="Times New Roman"/>
          <w:b w:val="false"/>
          <w:i w:val="false"/>
          <w:color w:val="000000"/>
          <w:sz w:val="28"/>
        </w:rPr>
        <w:t>
      30. Проект экспертно-аналитического заключения составляется в двух экземплярах, один из которых остается в Высшей аудиторской палате (Ревизионной комиссии), второй экземпляр направляется объекту (в случае наличия) экспертно-аналитического мероприятия в порядке, определенном Регламентом Высшей аудиторской палаты (Ревизионной комиссии).</w:t>
      </w:r>
    </w:p>
    <w:bookmarkEnd w:id="31"/>
    <w:bookmarkStart w:name="z46" w:id="32"/>
    <w:p>
      <w:pPr>
        <w:spacing w:after="0"/>
        <w:ind w:left="0"/>
        <w:jc w:val="both"/>
      </w:pPr>
      <w:r>
        <w:rPr>
          <w:rFonts w:ascii="Times New Roman"/>
          <w:b w:val="false"/>
          <w:i w:val="false"/>
          <w:color w:val="000000"/>
          <w:sz w:val="28"/>
        </w:rPr>
        <w:t>
      Проект экспертно-аналитического заключения за четыре рабочих дня до дня проведения заседания Высшей аудиторской палаты (Ревизионной комиссии) направляется Председателю Высшей аудиторской палаты на рассмотрение за подписью члена Высшей аудиторской палаты (Ревизионной комиссии), ответственного за его проведение экспертно-аналитического мероприятия.</w:t>
      </w:r>
    </w:p>
    <w:bookmarkEnd w:id="32"/>
    <w:bookmarkStart w:name="z47" w:id="33"/>
    <w:p>
      <w:pPr>
        <w:spacing w:after="0"/>
        <w:ind w:left="0"/>
        <w:jc w:val="both"/>
      </w:pPr>
      <w:r>
        <w:rPr>
          <w:rFonts w:ascii="Times New Roman"/>
          <w:b w:val="false"/>
          <w:i w:val="false"/>
          <w:color w:val="000000"/>
          <w:sz w:val="28"/>
        </w:rPr>
        <w:t>
      Для рассмотрения на заседании Высшей аудиторской палаты (Ревизионной комиссии), проект экспертно-аналитического заключения направляется членам Высшей аудиторской палаты (Ревизионной комиссии) не позднее пяти рабочих дней до дня проведения заседания.</w:t>
      </w:r>
    </w:p>
    <w:bookmarkEnd w:id="33"/>
    <w:bookmarkStart w:name="z48" w:id="34"/>
    <w:p>
      <w:pPr>
        <w:spacing w:after="0"/>
        <w:ind w:left="0"/>
        <w:jc w:val="both"/>
      </w:pPr>
      <w:r>
        <w:rPr>
          <w:rFonts w:ascii="Times New Roman"/>
          <w:b w:val="false"/>
          <w:i w:val="false"/>
          <w:color w:val="000000"/>
          <w:sz w:val="28"/>
        </w:rPr>
        <w:t>
      Заседания по экспертно-аналитическим мероприятиям, имеющим секретный характер, проводятся с соблюдением требований, установленных законодательством Республики Казахстан по защите государственных секретов.";</w:t>
      </w:r>
    </w:p>
    <w:bookmarkEnd w:id="34"/>
    <w:bookmarkStart w:name="z49" w:id="35"/>
    <w:p>
      <w:pPr>
        <w:spacing w:after="0"/>
        <w:ind w:left="0"/>
        <w:jc w:val="both"/>
      </w:pPr>
      <w:r>
        <w:rPr>
          <w:rFonts w:ascii="Times New Roman"/>
          <w:b w:val="false"/>
          <w:i w:val="false"/>
          <w:color w:val="000000"/>
          <w:sz w:val="28"/>
        </w:rPr>
        <w:t>
      Приложение изложить в новой редакции, согласно приложению к настоящему нормативному постановлению.</w:t>
      </w:r>
    </w:p>
    <w:bookmarkEnd w:id="35"/>
    <w:bookmarkStart w:name="z50" w:id="36"/>
    <w:p>
      <w:pPr>
        <w:spacing w:after="0"/>
        <w:ind w:left="0"/>
        <w:jc w:val="both"/>
      </w:pPr>
      <w:r>
        <w:rPr>
          <w:rFonts w:ascii="Times New Roman"/>
          <w:b w:val="false"/>
          <w:i w:val="false"/>
          <w:color w:val="000000"/>
          <w:sz w:val="28"/>
        </w:rPr>
        <w:t>
      2. Департаменту анализа и оценки бюджета аппарата Высшей аудиторской палаты в установленном законодательством Республики Казахстан порядке обеспечить:</w:t>
      </w:r>
    </w:p>
    <w:bookmarkEnd w:id="36"/>
    <w:bookmarkStart w:name="z51" w:id="37"/>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37"/>
    <w:bookmarkStart w:name="z52" w:id="38"/>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Высшей аудиторской палаты после его официального опубликования.</w:t>
      </w:r>
    </w:p>
    <w:bookmarkEnd w:id="38"/>
    <w:bookmarkStart w:name="z53" w:id="39"/>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Высшей аудиторской палаты.</w:t>
      </w:r>
    </w:p>
    <w:bookmarkEnd w:id="39"/>
    <w:bookmarkStart w:name="z54" w:id="40"/>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Высшей аудиторской палаты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экспертно-</w:t>
            </w:r>
            <w:r>
              <w:br/>
            </w:r>
            <w:r>
              <w:rPr>
                <w:rFonts w:ascii="Times New Roman"/>
                <w:b w:val="false"/>
                <w:i w:val="false"/>
                <w:color w:val="000000"/>
                <w:sz w:val="20"/>
              </w:rPr>
              <w:t>аналитического мероприятия</w:t>
            </w:r>
            <w:r>
              <w:br/>
            </w:r>
            <w:r>
              <w:rPr>
                <w:rFonts w:ascii="Times New Roman"/>
                <w:b w:val="false"/>
                <w:i w:val="false"/>
                <w:color w:val="000000"/>
                <w:sz w:val="20"/>
              </w:rPr>
              <w:t>органами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Член органа внешнего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от "___"_________20__года</w:t>
            </w:r>
          </w:p>
        </w:tc>
      </w:tr>
    </w:tbl>
    <w:bookmarkStart w:name="z59" w:id="41"/>
    <w:p>
      <w:pPr>
        <w:spacing w:after="0"/>
        <w:ind w:left="0"/>
        <w:jc w:val="left"/>
      </w:pPr>
      <w:r>
        <w:rPr>
          <w:rFonts w:ascii="Times New Roman"/>
          <w:b/>
          <w:i w:val="false"/>
          <w:color w:val="000000"/>
        </w:rPr>
        <w:t xml:space="preserve"> ПРОГРАММА </w:t>
      </w:r>
      <w:r>
        <w:br/>
      </w:r>
      <w:r>
        <w:rPr>
          <w:rFonts w:ascii="Times New Roman"/>
          <w:b/>
          <w:i w:val="false"/>
          <w:color w:val="000000"/>
        </w:rPr>
        <w:t>экспертно-аналитического мероприятия</w:t>
      </w:r>
    </w:p>
    <w:bookmarkEnd w:id="41"/>
    <w:bookmarkStart w:name="z60" w:id="42"/>
    <w:p>
      <w:pPr>
        <w:spacing w:after="0"/>
        <w:ind w:left="0"/>
        <w:jc w:val="both"/>
      </w:pPr>
      <w:r>
        <w:rPr>
          <w:rFonts w:ascii="Times New Roman"/>
          <w:b w:val="false"/>
          <w:i w:val="false"/>
          <w:color w:val="000000"/>
          <w:sz w:val="28"/>
        </w:rPr>
        <w:t>
      1. Наименование экспертно-аналитического мероприятия: __________________</w:t>
      </w:r>
    </w:p>
    <w:bookmarkEnd w:id="42"/>
    <w:bookmarkStart w:name="z61" w:id="43"/>
    <w:p>
      <w:pPr>
        <w:spacing w:after="0"/>
        <w:ind w:left="0"/>
        <w:jc w:val="both"/>
      </w:pPr>
      <w:r>
        <w:rPr>
          <w:rFonts w:ascii="Times New Roman"/>
          <w:b w:val="false"/>
          <w:i w:val="false"/>
          <w:color w:val="000000"/>
          <w:sz w:val="28"/>
        </w:rPr>
        <w:t>
      2. Предмет экспертно-аналитического мероприятия: _______________________</w:t>
      </w:r>
    </w:p>
    <w:bookmarkEnd w:id="43"/>
    <w:bookmarkStart w:name="z62" w:id="44"/>
    <w:p>
      <w:pPr>
        <w:spacing w:after="0"/>
        <w:ind w:left="0"/>
        <w:jc w:val="both"/>
      </w:pPr>
      <w:r>
        <w:rPr>
          <w:rFonts w:ascii="Times New Roman"/>
          <w:b w:val="false"/>
          <w:i w:val="false"/>
          <w:color w:val="000000"/>
          <w:sz w:val="28"/>
        </w:rPr>
        <w:t xml:space="preserve">
      3. Основные вопросы, охватываемые экспертно-аналитическим мероприятием: </w:t>
      </w:r>
    </w:p>
    <w:bookmarkEnd w:id="44"/>
    <w:bookmarkStart w:name="z63" w:id="45"/>
    <w:p>
      <w:pPr>
        <w:spacing w:after="0"/>
        <w:ind w:left="0"/>
        <w:jc w:val="both"/>
      </w:pPr>
      <w:r>
        <w:rPr>
          <w:rFonts w:ascii="Times New Roman"/>
          <w:b w:val="false"/>
          <w:i w:val="false"/>
          <w:color w:val="000000"/>
          <w:sz w:val="28"/>
        </w:rPr>
        <w:t>
      ____________________________________________________________________</w:t>
      </w:r>
    </w:p>
    <w:bookmarkEnd w:id="45"/>
    <w:bookmarkStart w:name="z64" w:id="46"/>
    <w:p>
      <w:pPr>
        <w:spacing w:after="0"/>
        <w:ind w:left="0"/>
        <w:jc w:val="both"/>
      </w:pPr>
      <w:r>
        <w:rPr>
          <w:rFonts w:ascii="Times New Roman"/>
          <w:b w:val="false"/>
          <w:i w:val="false"/>
          <w:color w:val="000000"/>
          <w:sz w:val="28"/>
        </w:rPr>
        <w:t>
      4. Период, охватываемый экспертно-аналитическим мероприятием: ____________________________________________________________________</w:t>
      </w:r>
    </w:p>
    <w:bookmarkEnd w:id="46"/>
    <w:bookmarkStart w:name="z65" w:id="47"/>
    <w:p>
      <w:pPr>
        <w:spacing w:after="0"/>
        <w:ind w:left="0"/>
        <w:jc w:val="both"/>
      </w:pPr>
      <w:r>
        <w:rPr>
          <w:rFonts w:ascii="Times New Roman"/>
          <w:b w:val="false"/>
          <w:i w:val="false"/>
          <w:color w:val="000000"/>
          <w:sz w:val="28"/>
        </w:rPr>
        <w:t xml:space="preserve">
      5. Сроки проведения экспертно-аналитического мероприятия (количество дней): </w:t>
      </w:r>
    </w:p>
    <w:bookmarkEnd w:id="47"/>
    <w:bookmarkStart w:name="z66" w:id="48"/>
    <w:p>
      <w:pPr>
        <w:spacing w:after="0"/>
        <w:ind w:left="0"/>
        <w:jc w:val="both"/>
      </w:pPr>
      <w:r>
        <w:rPr>
          <w:rFonts w:ascii="Times New Roman"/>
          <w:b w:val="false"/>
          <w:i w:val="false"/>
          <w:color w:val="000000"/>
          <w:sz w:val="28"/>
        </w:rPr>
        <w:t>
      ____________________________________________________________________</w:t>
      </w:r>
    </w:p>
    <w:bookmarkEnd w:id="48"/>
    <w:bookmarkStart w:name="z67" w:id="49"/>
    <w:p>
      <w:pPr>
        <w:spacing w:after="0"/>
        <w:ind w:left="0"/>
        <w:jc w:val="both"/>
      </w:pPr>
      <w:r>
        <w:rPr>
          <w:rFonts w:ascii="Times New Roman"/>
          <w:b w:val="false"/>
          <w:i w:val="false"/>
          <w:color w:val="000000"/>
          <w:sz w:val="28"/>
        </w:rPr>
        <w:t>
      6. Состав группы экспертно-аналитического мероприятия: руководитель группы, государственные аудиторы (ассистенты), сотрудники структурного подразделения, эксперты*.</w:t>
      </w:r>
    </w:p>
    <w:bookmarkEnd w:id="49"/>
    <w:bookmarkStart w:name="z68" w:id="50"/>
    <w:p>
      <w:pPr>
        <w:spacing w:after="0"/>
        <w:ind w:left="0"/>
        <w:jc w:val="both"/>
      </w:pPr>
      <w:r>
        <w:rPr>
          <w:rFonts w:ascii="Times New Roman"/>
          <w:b w:val="false"/>
          <w:i w:val="false"/>
          <w:color w:val="000000"/>
          <w:sz w:val="28"/>
        </w:rPr>
        <w:t>
      *в случае привлечения субподрядных экспертов ответственность за результаты их работы, достоверность представленных материалов, а также подписание итоговых документов несет основной привлеченный эксперт, включенный в состав группы экспертно-аналитического мероприятия.</w:t>
      </w:r>
    </w:p>
    <w:bookmarkEnd w:id="50"/>
    <w:bookmarkStart w:name="z69" w:id="51"/>
    <w:p>
      <w:pPr>
        <w:spacing w:after="0"/>
        <w:ind w:left="0"/>
        <w:jc w:val="both"/>
      </w:pPr>
      <w:r>
        <w:rPr>
          <w:rFonts w:ascii="Times New Roman"/>
          <w:b w:val="false"/>
          <w:i w:val="false"/>
          <w:color w:val="000000"/>
          <w:sz w:val="28"/>
        </w:rPr>
        <w:t>
      Работники Высшей аудиторской палаты Республики Казахстан (Ревизионной комиссии), привлеченные эксперты ответственные за проведение экспертно-аналитического мероприятия</w:t>
      </w:r>
    </w:p>
    <w:bookmarkEnd w:id="51"/>
    <w:bookmarkStart w:name="z70" w:id="52"/>
    <w:p>
      <w:pPr>
        <w:spacing w:after="0"/>
        <w:ind w:left="0"/>
        <w:jc w:val="both"/>
      </w:pPr>
      <w:r>
        <w:rPr>
          <w:rFonts w:ascii="Times New Roman"/>
          <w:b w:val="false"/>
          <w:i w:val="false"/>
          <w:color w:val="000000"/>
          <w:sz w:val="28"/>
        </w:rPr>
        <w:t>
      _______________________________</w:t>
      </w:r>
    </w:p>
    <w:bookmarkEnd w:id="52"/>
    <w:bookmarkStart w:name="z71" w:id="53"/>
    <w:p>
      <w:pPr>
        <w:spacing w:after="0"/>
        <w:ind w:left="0"/>
        <w:jc w:val="both"/>
      </w:pPr>
      <w:r>
        <w:rPr>
          <w:rFonts w:ascii="Times New Roman"/>
          <w:b w:val="false"/>
          <w:i w:val="false"/>
          <w:color w:val="000000"/>
          <w:sz w:val="28"/>
        </w:rPr>
        <w:t>
      (фамилия, инициалы, подпись, дата)</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