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1441" w14:textId="9c81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и.о. Министра туризма и спорта Республики Казахстан от 30 апреля 2026 года № 79. Зарегистрирован в Министерстве юстиции Республики Казахстан 5 мая 2026 года № 38662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xml:space="preserve">
      2) в течение трех рабочих дней после введения в действие настоящего приказа размещение его на интернет-ресурсе Министерства туризма и спорта Республики Казахстан; </w:t>
      </w:r>
    </w:p>
    <w:bookmarkEnd w:id="4"/>
    <w:bookmarkStart w:name="z10" w:id="5"/>
    <w:p>
      <w:pPr>
        <w:spacing w:after="0"/>
        <w:ind w:left="0"/>
        <w:jc w:val="both"/>
      </w:pPr>
      <w:r>
        <w:rPr>
          <w:rFonts w:ascii="Times New Roman"/>
          <w:b w:val="false"/>
          <w:i w:val="false"/>
          <w:color w:val="000000"/>
          <w:sz w:val="28"/>
        </w:rPr>
        <w:t>
      3) в течение трех рабочих дней после исполнения подпунктов 1) и 2) пункта 2 настоящего приказа обеспечить представление информации об исполнении в Департамент юридической службы Министерства туризма и спорта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Перечня, </w:t>
      </w:r>
      <w:r>
        <w:rPr>
          <w:rFonts w:ascii="Times New Roman"/>
          <w:b w:val="false"/>
          <w:i w:val="false"/>
          <w:color w:val="000000"/>
          <w:sz w:val="28"/>
        </w:rPr>
        <w:t>приложений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Перечню, которые вводятся в действие с 12 июля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туризма и 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 № 79</w:t>
            </w:r>
          </w:p>
        </w:tc>
      </w:tr>
    </w:tbl>
    <w:bookmarkStart w:name="z18" w:id="11"/>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11"/>
    <w:bookmarkStart w:name="z19"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30 марта 2015 года № 115 "Об утверждении Перечня и формы документов, подтверждающих соответствие организатора игорного бизнеса квалификационным требованиям" (зарегистрирован в Реестре государственной регистрации нормативных правовых актов под № 10876)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7-5)</w:t>
      </w:r>
      <w:r>
        <w:rPr>
          <w:rFonts w:ascii="Times New Roman"/>
          <w:b w:val="false"/>
          <w:i w:val="false"/>
          <w:color w:val="000000"/>
          <w:sz w:val="28"/>
        </w:rPr>
        <w:t xml:space="preserve"> статьи 8 Закона Республики Казахстан "Об игорном бизнесе", </w:t>
      </w:r>
      <w:r>
        <w:rPr>
          <w:rFonts w:ascii="Times New Roman"/>
          <w:b w:val="false"/>
          <w:i w:val="false"/>
          <w:color w:val="000000"/>
          <w:sz w:val="28"/>
        </w:rPr>
        <w:t>подпунктом 154)</w:t>
      </w:r>
      <w:r>
        <w:rPr>
          <w:rFonts w:ascii="Times New Roman"/>
          <w:b w:val="false"/>
          <w:i w:val="false"/>
          <w:color w:val="000000"/>
          <w:sz w:val="28"/>
        </w:rPr>
        <w:t xml:space="preserve"> пункта 15 Положения о Министерстве туризма и спорта Республики Казахстан, утвержденного постановлением Правительства Республики Казахстан от 4 октября 2023 года № 865, </w:t>
      </w:r>
      <w:r>
        <w:rPr>
          <w:rFonts w:ascii="Times New Roman"/>
          <w:b/>
          <w:i w:val="false"/>
          <w:color w:val="000000"/>
          <w:sz w:val="28"/>
        </w:rPr>
        <w:t>ПРИКАЗЫВАЮ:</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документов, подтверждающих соответствие организатора игорного бизнеса квалификационным требованиям,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3"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17 июля 2015 года № 249 "Об утверждении формы представления отчетности организатора игорного бизнеса, Правил осуществления сбора и анализа отчетности, представляемой организатором игорного бизнеса" (зарегистрирован в Реестре государственной регистрации нормативных правовых актов под № 11948) следующие изменения: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8 Закона Республики Казахстан "Об игорном бизнесе",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27"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сбора и анализа отчетности, представляемой организатором игорного бизнеса,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"5. Отчетность содержит следующую информацию:</w:t>
      </w:r>
    </w:p>
    <w:bookmarkEnd w:id="17"/>
    <w:bookmarkStart w:name="z30" w:id="18"/>
    <w:p>
      <w:pPr>
        <w:spacing w:after="0"/>
        <w:ind w:left="0"/>
        <w:jc w:val="both"/>
      </w:pPr>
      <w:r>
        <w:rPr>
          <w:rFonts w:ascii="Times New Roman"/>
          <w:b w:val="false"/>
          <w:i w:val="false"/>
          <w:color w:val="000000"/>
          <w:sz w:val="28"/>
        </w:rPr>
        <w:t>
      1) сведения о бизнес идентификационном номере организатора игорного бизнеса;</w:t>
      </w:r>
    </w:p>
    <w:bookmarkEnd w:id="18"/>
    <w:bookmarkStart w:name="z31" w:id="19"/>
    <w:p>
      <w:pPr>
        <w:spacing w:after="0"/>
        <w:ind w:left="0"/>
        <w:jc w:val="both"/>
      </w:pPr>
      <w:r>
        <w:rPr>
          <w:rFonts w:ascii="Times New Roman"/>
          <w:b w:val="false"/>
          <w:i w:val="false"/>
          <w:color w:val="000000"/>
          <w:sz w:val="28"/>
        </w:rPr>
        <w:t>
      2) наименование организатора игорного бизнеса;</w:t>
      </w:r>
    </w:p>
    <w:bookmarkEnd w:id="19"/>
    <w:bookmarkStart w:name="z32" w:id="20"/>
    <w:p>
      <w:pPr>
        <w:spacing w:after="0"/>
        <w:ind w:left="0"/>
        <w:jc w:val="both"/>
      </w:pPr>
      <w:r>
        <w:rPr>
          <w:rFonts w:ascii="Times New Roman"/>
          <w:b w:val="false"/>
          <w:i w:val="false"/>
          <w:color w:val="000000"/>
          <w:sz w:val="28"/>
        </w:rPr>
        <w:t>
      3) вид деятельности;</w:t>
      </w:r>
    </w:p>
    <w:bookmarkEnd w:id="20"/>
    <w:bookmarkStart w:name="z33" w:id="21"/>
    <w:p>
      <w:pPr>
        <w:spacing w:after="0"/>
        <w:ind w:left="0"/>
        <w:jc w:val="both"/>
      </w:pPr>
      <w:r>
        <w:rPr>
          <w:rFonts w:ascii="Times New Roman"/>
          <w:b w:val="false"/>
          <w:i w:val="false"/>
          <w:color w:val="000000"/>
          <w:sz w:val="28"/>
        </w:rPr>
        <w:t>
      4) юридический адрес;</w:t>
      </w:r>
    </w:p>
    <w:bookmarkEnd w:id="21"/>
    <w:bookmarkStart w:name="z34" w:id="22"/>
    <w:p>
      <w:pPr>
        <w:spacing w:after="0"/>
        <w:ind w:left="0"/>
        <w:jc w:val="both"/>
      </w:pPr>
      <w:r>
        <w:rPr>
          <w:rFonts w:ascii="Times New Roman"/>
          <w:b w:val="false"/>
          <w:i w:val="false"/>
          <w:color w:val="000000"/>
          <w:sz w:val="28"/>
        </w:rPr>
        <w:t>
      5) сведения о численности работников организатора игорного бизнеса на начало отчетного периода;</w:t>
      </w:r>
    </w:p>
    <w:bookmarkEnd w:id="22"/>
    <w:bookmarkStart w:name="z35" w:id="23"/>
    <w:p>
      <w:pPr>
        <w:spacing w:after="0"/>
        <w:ind w:left="0"/>
        <w:jc w:val="both"/>
      </w:pPr>
      <w:r>
        <w:rPr>
          <w:rFonts w:ascii="Times New Roman"/>
          <w:b w:val="false"/>
          <w:i w:val="false"/>
          <w:color w:val="000000"/>
          <w:sz w:val="28"/>
        </w:rPr>
        <w:t>
      6) сведения о численности работников организатора игорного бизнеса на конец отчетного периода;</w:t>
      </w:r>
    </w:p>
    <w:bookmarkEnd w:id="23"/>
    <w:bookmarkStart w:name="z36" w:id="24"/>
    <w:p>
      <w:pPr>
        <w:spacing w:after="0"/>
        <w:ind w:left="0"/>
        <w:jc w:val="both"/>
      </w:pPr>
      <w:r>
        <w:rPr>
          <w:rFonts w:ascii="Times New Roman"/>
          <w:b w:val="false"/>
          <w:i w:val="false"/>
          <w:color w:val="000000"/>
          <w:sz w:val="28"/>
        </w:rPr>
        <w:t>
      7) сведения о количестве участников азартных игр и (или) пари (резиденты) на начало отчетного периода;</w:t>
      </w:r>
    </w:p>
    <w:bookmarkEnd w:id="24"/>
    <w:bookmarkStart w:name="z37" w:id="25"/>
    <w:p>
      <w:pPr>
        <w:spacing w:after="0"/>
        <w:ind w:left="0"/>
        <w:jc w:val="both"/>
      </w:pPr>
      <w:r>
        <w:rPr>
          <w:rFonts w:ascii="Times New Roman"/>
          <w:b w:val="false"/>
          <w:i w:val="false"/>
          <w:color w:val="000000"/>
          <w:sz w:val="28"/>
        </w:rPr>
        <w:t>
      8) сведения о количестве участников азартных игр и (или) пари (нерезиденты) на начало отчетного периода;</w:t>
      </w:r>
    </w:p>
    <w:bookmarkEnd w:id="25"/>
    <w:bookmarkStart w:name="z38" w:id="26"/>
    <w:p>
      <w:pPr>
        <w:spacing w:after="0"/>
        <w:ind w:left="0"/>
        <w:jc w:val="both"/>
      </w:pPr>
      <w:r>
        <w:rPr>
          <w:rFonts w:ascii="Times New Roman"/>
          <w:b w:val="false"/>
          <w:i w:val="false"/>
          <w:color w:val="000000"/>
          <w:sz w:val="28"/>
        </w:rPr>
        <w:t>
      9) сведения о количестве участников азартных игр и (или) пари (резиденты) на конец периода;</w:t>
      </w:r>
    </w:p>
    <w:bookmarkEnd w:id="26"/>
    <w:bookmarkStart w:name="z39" w:id="27"/>
    <w:p>
      <w:pPr>
        <w:spacing w:after="0"/>
        <w:ind w:left="0"/>
        <w:jc w:val="both"/>
      </w:pPr>
      <w:r>
        <w:rPr>
          <w:rFonts w:ascii="Times New Roman"/>
          <w:b w:val="false"/>
          <w:i w:val="false"/>
          <w:color w:val="000000"/>
          <w:sz w:val="28"/>
        </w:rPr>
        <w:t>
      10) сведения о количестве участников азартных игр и (или) пари (нерезиденты) на конец периода;</w:t>
      </w:r>
    </w:p>
    <w:bookmarkEnd w:id="27"/>
    <w:bookmarkStart w:name="z40" w:id="28"/>
    <w:p>
      <w:pPr>
        <w:spacing w:after="0"/>
        <w:ind w:left="0"/>
        <w:jc w:val="both"/>
      </w:pPr>
      <w:r>
        <w:rPr>
          <w:rFonts w:ascii="Times New Roman"/>
          <w:b w:val="false"/>
          <w:i w:val="false"/>
          <w:color w:val="000000"/>
          <w:sz w:val="28"/>
        </w:rPr>
        <w:t xml:space="preserve">
      11) сведения о количестве отказов в установлении деловых отношений с участниками по основаниям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8"/>
    <w:bookmarkStart w:name="z41" w:id="29"/>
    <w:p>
      <w:pPr>
        <w:spacing w:after="0"/>
        <w:ind w:left="0"/>
        <w:jc w:val="both"/>
      </w:pPr>
      <w:r>
        <w:rPr>
          <w:rFonts w:ascii="Times New Roman"/>
          <w:b w:val="false"/>
          <w:i w:val="false"/>
          <w:color w:val="000000"/>
          <w:sz w:val="28"/>
        </w:rPr>
        <w:t>
      12) сведения о количестве посещений игорных заведений одними и теми же участниками азартных игр в отчетный период (менее 10 посещений, более 10 посещений, более 50 посещений);</w:t>
      </w:r>
    </w:p>
    <w:bookmarkEnd w:id="29"/>
    <w:bookmarkStart w:name="z42" w:id="30"/>
    <w:p>
      <w:pPr>
        <w:spacing w:after="0"/>
        <w:ind w:left="0"/>
        <w:jc w:val="both"/>
      </w:pPr>
      <w:r>
        <w:rPr>
          <w:rFonts w:ascii="Times New Roman"/>
          <w:b w:val="false"/>
          <w:i w:val="false"/>
          <w:color w:val="000000"/>
          <w:sz w:val="28"/>
        </w:rPr>
        <w:t xml:space="preserve">
      13) сведения о сумме обеспечения на каждую лицензию в виде обязательных резервов, определяемых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игорном бизнесе";</w:t>
      </w:r>
    </w:p>
    <w:bookmarkEnd w:id="30"/>
    <w:bookmarkStart w:name="z43" w:id="31"/>
    <w:p>
      <w:pPr>
        <w:spacing w:after="0"/>
        <w:ind w:left="0"/>
        <w:jc w:val="both"/>
      </w:pPr>
      <w:r>
        <w:rPr>
          <w:rFonts w:ascii="Times New Roman"/>
          <w:b w:val="false"/>
          <w:i w:val="false"/>
          <w:color w:val="000000"/>
          <w:sz w:val="28"/>
        </w:rPr>
        <w:t>
      14) сведения о сумме выплаченных денежных средств участникам азартных игр и (или) пари;</w:t>
      </w:r>
    </w:p>
    <w:bookmarkEnd w:id="31"/>
    <w:bookmarkStart w:name="z44" w:id="32"/>
    <w:p>
      <w:pPr>
        <w:spacing w:after="0"/>
        <w:ind w:left="0"/>
        <w:jc w:val="both"/>
      </w:pPr>
      <w:r>
        <w:rPr>
          <w:rFonts w:ascii="Times New Roman"/>
          <w:b w:val="false"/>
          <w:i w:val="false"/>
          <w:color w:val="000000"/>
          <w:sz w:val="28"/>
        </w:rPr>
        <w:t>
      15) сведения о сумме полученных денежных средств организатором игорного бизнеса от участников азартных игр и (или) пари;</w:t>
      </w:r>
    </w:p>
    <w:bookmarkEnd w:id="32"/>
    <w:bookmarkStart w:name="z45" w:id="33"/>
    <w:p>
      <w:pPr>
        <w:spacing w:after="0"/>
        <w:ind w:left="0"/>
        <w:jc w:val="both"/>
      </w:pPr>
      <w:r>
        <w:rPr>
          <w:rFonts w:ascii="Times New Roman"/>
          <w:b w:val="false"/>
          <w:i w:val="false"/>
          <w:color w:val="000000"/>
          <w:sz w:val="28"/>
        </w:rPr>
        <w:t>
      16) наименование и вид игорного оборудования;</w:t>
      </w:r>
    </w:p>
    <w:bookmarkEnd w:id="33"/>
    <w:bookmarkStart w:name="z46" w:id="34"/>
    <w:p>
      <w:pPr>
        <w:spacing w:after="0"/>
        <w:ind w:left="0"/>
        <w:jc w:val="both"/>
      </w:pPr>
      <w:r>
        <w:rPr>
          <w:rFonts w:ascii="Times New Roman"/>
          <w:b w:val="false"/>
          <w:i w:val="false"/>
          <w:color w:val="000000"/>
          <w:sz w:val="28"/>
        </w:rPr>
        <w:t>
      17) количество игорного оборудования;</w:t>
      </w:r>
    </w:p>
    <w:bookmarkEnd w:id="34"/>
    <w:bookmarkStart w:name="z47" w:id="35"/>
    <w:p>
      <w:pPr>
        <w:spacing w:after="0"/>
        <w:ind w:left="0"/>
        <w:jc w:val="both"/>
      </w:pPr>
      <w:r>
        <w:rPr>
          <w:rFonts w:ascii="Times New Roman"/>
          <w:b w:val="false"/>
          <w:i w:val="false"/>
          <w:color w:val="000000"/>
          <w:sz w:val="28"/>
        </w:rPr>
        <w:t>
      18) сведения о серийном и (или) инвентарном номере игорного оборудования;</w:t>
      </w:r>
    </w:p>
    <w:bookmarkEnd w:id="35"/>
    <w:bookmarkStart w:name="z48" w:id="36"/>
    <w:p>
      <w:pPr>
        <w:spacing w:after="0"/>
        <w:ind w:left="0"/>
        <w:jc w:val="both"/>
      </w:pPr>
      <w:r>
        <w:rPr>
          <w:rFonts w:ascii="Times New Roman"/>
          <w:b w:val="false"/>
          <w:i w:val="false"/>
          <w:color w:val="000000"/>
          <w:sz w:val="28"/>
        </w:rPr>
        <w:t>
      19) сведения о производителе игорного оборудования;</w:t>
      </w:r>
    </w:p>
    <w:bookmarkEnd w:id="36"/>
    <w:bookmarkStart w:name="z49" w:id="37"/>
    <w:p>
      <w:pPr>
        <w:spacing w:after="0"/>
        <w:ind w:left="0"/>
        <w:jc w:val="both"/>
      </w:pPr>
      <w:r>
        <w:rPr>
          <w:rFonts w:ascii="Times New Roman"/>
          <w:b w:val="false"/>
          <w:i w:val="false"/>
          <w:color w:val="000000"/>
          <w:sz w:val="28"/>
        </w:rPr>
        <w:t>
      20) сведения о техническом состоянии игорного оборудования, игровых автоматов;</w:t>
      </w:r>
    </w:p>
    <w:bookmarkEnd w:id="37"/>
    <w:bookmarkStart w:name="z50" w:id="38"/>
    <w:p>
      <w:pPr>
        <w:spacing w:after="0"/>
        <w:ind w:left="0"/>
        <w:jc w:val="both"/>
      </w:pPr>
      <w:r>
        <w:rPr>
          <w:rFonts w:ascii="Times New Roman"/>
          <w:b w:val="false"/>
          <w:i w:val="false"/>
          <w:color w:val="000000"/>
          <w:sz w:val="28"/>
        </w:rPr>
        <w:t>
      21) сведения об установленном проценте выигрыша, технологически заложенном в игровой автомат;</w:t>
      </w:r>
    </w:p>
    <w:bookmarkEnd w:id="38"/>
    <w:bookmarkStart w:name="z51" w:id="39"/>
    <w:p>
      <w:pPr>
        <w:spacing w:after="0"/>
        <w:ind w:left="0"/>
        <w:jc w:val="both"/>
      </w:pPr>
      <w:r>
        <w:rPr>
          <w:rFonts w:ascii="Times New Roman"/>
          <w:b w:val="false"/>
          <w:i w:val="false"/>
          <w:color w:val="000000"/>
          <w:sz w:val="28"/>
        </w:rPr>
        <w:t>
      22) сведения о техническом состоянии видеозаписывающих систем, в том числе о наименовании видеозаписывающей системы, количестве, дате тестирования оборудования;</w:t>
      </w:r>
    </w:p>
    <w:bookmarkEnd w:id="39"/>
    <w:bookmarkStart w:name="z52" w:id="40"/>
    <w:p>
      <w:pPr>
        <w:spacing w:after="0"/>
        <w:ind w:left="0"/>
        <w:jc w:val="both"/>
      </w:pPr>
      <w:r>
        <w:rPr>
          <w:rFonts w:ascii="Times New Roman"/>
          <w:b w:val="false"/>
          <w:i w:val="false"/>
          <w:color w:val="000000"/>
          <w:sz w:val="28"/>
        </w:rPr>
        <w:t>
      23) сведения о кассе (-ах), в том числе о виде, количестве и месторасположении кассы (адрес);</w:t>
      </w:r>
    </w:p>
    <w:bookmarkEnd w:id="40"/>
    <w:bookmarkStart w:name="z53" w:id="41"/>
    <w:p>
      <w:pPr>
        <w:spacing w:after="0"/>
        <w:ind w:left="0"/>
        <w:jc w:val="both"/>
      </w:pPr>
      <w:r>
        <w:rPr>
          <w:rFonts w:ascii="Times New Roman"/>
          <w:b w:val="false"/>
          <w:i w:val="false"/>
          <w:color w:val="000000"/>
          <w:sz w:val="28"/>
        </w:rPr>
        <w:t>
      24) сведения о постановке на регистрационный учет объектов налогообложения/касс (-ы) в органах государственных доходов;</w:t>
      </w:r>
    </w:p>
    <w:bookmarkEnd w:id="41"/>
    <w:bookmarkStart w:name="z54" w:id="42"/>
    <w:p>
      <w:pPr>
        <w:spacing w:after="0"/>
        <w:ind w:left="0"/>
        <w:jc w:val="both"/>
      </w:pPr>
      <w:r>
        <w:rPr>
          <w:rFonts w:ascii="Times New Roman"/>
          <w:b w:val="false"/>
          <w:i w:val="false"/>
          <w:color w:val="000000"/>
          <w:sz w:val="28"/>
        </w:rPr>
        <w:t>
      25) сведения об изменении количества столов, замены оборудования, в том числе серийный или инвентарный номер заменившего оборудования;</w:t>
      </w:r>
    </w:p>
    <w:bookmarkEnd w:id="42"/>
    <w:bookmarkStart w:name="z55" w:id="43"/>
    <w:p>
      <w:pPr>
        <w:spacing w:after="0"/>
        <w:ind w:left="0"/>
        <w:jc w:val="both"/>
      </w:pPr>
      <w:r>
        <w:rPr>
          <w:rFonts w:ascii="Times New Roman"/>
          <w:b w:val="false"/>
          <w:i w:val="false"/>
          <w:color w:val="000000"/>
          <w:sz w:val="28"/>
        </w:rPr>
        <w:t>
      26) сведения об изменении количества столов, замены оборудования, в том числе о количестве игровых столов, указанных при получении лицензии;</w:t>
      </w:r>
    </w:p>
    <w:bookmarkEnd w:id="43"/>
    <w:bookmarkStart w:name="z56" w:id="44"/>
    <w:p>
      <w:pPr>
        <w:spacing w:after="0"/>
        <w:ind w:left="0"/>
        <w:jc w:val="both"/>
      </w:pPr>
      <w:r>
        <w:rPr>
          <w:rFonts w:ascii="Times New Roman"/>
          <w:b w:val="false"/>
          <w:i w:val="false"/>
          <w:color w:val="000000"/>
          <w:sz w:val="28"/>
        </w:rPr>
        <w:t>
      27) сведения об изменении количества столов, замены оборудования, в том числе информация об увеличении и сокращении количества игровых столов;</w:t>
      </w:r>
    </w:p>
    <w:bookmarkEnd w:id="44"/>
    <w:bookmarkStart w:name="z57" w:id="45"/>
    <w:p>
      <w:pPr>
        <w:spacing w:after="0"/>
        <w:ind w:left="0"/>
        <w:jc w:val="both"/>
      </w:pPr>
      <w:r>
        <w:rPr>
          <w:rFonts w:ascii="Times New Roman"/>
          <w:b w:val="false"/>
          <w:i w:val="false"/>
          <w:color w:val="000000"/>
          <w:sz w:val="28"/>
        </w:rPr>
        <w:t>
      28) сведения о бенефициарных собственниках в составе учредителей, руководителей организатора игорного бизнеса и о первых руководителях организатора игорного бизнеса.".</w:t>
      </w:r>
    </w:p>
    <w:bookmarkEnd w:id="45"/>
    <w:bookmarkStart w:name="z58" w:id="4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8 июля 2020 года № 195 "Об утверждении Правил оказания государственных услуг в сфере игорного бизнеса" (зарегистрирован в Реестре государственной регистрации нормативных правовых актов под № 20947) следующие изменения: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0" w:id="4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47"/>
    <w:bookmarkStart w:name="z61"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деятельностью казино", утвержденных указанным приказом: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 w:id="4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деятельностью казино"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занятие деятельностью казино" (далее – государственная услуга).";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5" w:id="50"/>
    <w:p>
      <w:pPr>
        <w:spacing w:after="0"/>
        <w:ind w:left="0"/>
        <w:jc w:val="both"/>
      </w:pPr>
      <w:r>
        <w:rPr>
          <w:rFonts w:ascii="Times New Roman"/>
          <w:b w:val="false"/>
          <w:i w:val="false"/>
          <w:color w:val="000000"/>
          <w:sz w:val="28"/>
        </w:rPr>
        <w:t>
      "2. Государственная услуга оказывается Комитетом по регулированию игорного бизнеса и лотереи Министерства туризма и спорта Республики Казахстан (далее – услугодатель) юридическим лицам (далее – услугополучатель) в соответствии с настоящими Правилами.";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67" w:id="51"/>
    <w:p>
      <w:pPr>
        <w:spacing w:after="0"/>
        <w:ind w:left="0"/>
        <w:jc w:val="both"/>
      </w:pPr>
      <w:r>
        <w:rPr>
          <w:rFonts w:ascii="Times New Roman"/>
          <w:b w:val="false"/>
          <w:i w:val="false"/>
          <w:color w:val="000000"/>
          <w:sz w:val="28"/>
        </w:rPr>
        <w:t>
      "4. Для получения государственной услуги услугополучатель обращается к услугодателю через веб-портал "цифрового правительства" www.egov.kz (далее – портал), цифровую систему "Государственная база данных "Е-лицензирование" www.elicense.kz (далее – ГБД ЕЛ).</w:t>
      </w:r>
    </w:p>
    <w:bookmarkEnd w:id="51"/>
    <w:bookmarkStart w:name="z68" w:id="52"/>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52"/>
    <w:bookmarkStart w:name="z69" w:id="53"/>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цифровых систем через шлюз "цифрового правительства".</w:t>
      </w:r>
    </w:p>
    <w:bookmarkEnd w:id="53"/>
    <w:bookmarkStart w:name="z70" w:id="54"/>
    <w:p>
      <w:pPr>
        <w:spacing w:after="0"/>
        <w:ind w:left="0"/>
        <w:jc w:val="both"/>
      </w:pPr>
      <w:r>
        <w:rPr>
          <w:rFonts w:ascii="Times New Roman"/>
          <w:b w:val="false"/>
          <w:i w:val="false"/>
          <w:color w:val="000000"/>
          <w:sz w:val="28"/>
        </w:rPr>
        <w:t xml:space="preserve">
      6. Услугодатель в течение двух рабочих дней с момента получения документов проверяет полноту представленных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случаях представления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 в форме электронного документа, подписанный электронной цифровой подписью (далее – ЭЦП) руководителя услугодателя, и направляет услугополучателю в личный кабинет ГБД ЕЛ.</w:t>
      </w:r>
    </w:p>
    <w:bookmarkEnd w:id="54"/>
    <w:bookmarkStart w:name="z71" w:id="55"/>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услугодателем подготавливается, визируется/подписывается приказ на выдачу лицензии в течение 10 (десяти) рабочих дней, переоформления лицензии – 3 (трех) рабочих дней.</w:t>
      </w:r>
    </w:p>
    <w:bookmarkEnd w:id="55"/>
    <w:bookmarkStart w:name="z72" w:id="5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6"/>
    <w:bookmarkStart w:name="z73" w:id="5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7"/>
    <w:bookmarkStart w:name="z74" w:id="58"/>
    <w:p>
      <w:pPr>
        <w:spacing w:after="0"/>
        <w:ind w:left="0"/>
        <w:jc w:val="both"/>
      </w:pPr>
      <w:r>
        <w:rPr>
          <w:rFonts w:ascii="Times New Roman"/>
          <w:b w:val="false"/>
          <w:i w:val="false"/>
          <w:color w:val="000000"/>
          <w:sz w:val="28"/>
        </w:rPr>
        <w:t>
      По результатам заслушивания услугодатель выдает в ГБД ЕЛ результат оказания государственной услуги либо мотивированный ответ об отказе в оказании государственной услуги.</w:t>
      </w:r>
    </w:p>
    <w:bookmarkEnd w:id="58"/>
    <w:bookmarkStart w:name="z75" w:id="59"/>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9"/>
    <w:bookmarkStart w:name="z76" w:id="60"/>
    <w:p>
      <w:pPr>
        <w:spacing w:after="0"/>
        <w:ind w:left="0"/>
        <w:jc w:val="both"/>
      </w:pPr>
      <w:r>
        <w:rPr>
          <w:rFonts w:ascii="Times New Roman"/>
          <w:b w:val="false"/>
          <w:i w:val="false"/>
          <w:color w:val="000000"/>
          <w:sz w:val="28"/>
        </w:rPr>
        <w:t>
      Уполномоченный орган в сфере игорного бизнеса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 и оператору "цифрового правительства" в течение 3 (трех) рабочих дней после государственной регистрации в органах юстиции соответствующего нормативного правового акта.";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78"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деятельностью зала игровых автоматов", утвержденных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0" w:id="6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деятельностью зала игровых автоматов"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занятие деятельностью зала игровых автоматов" (далее – государственная услуга).";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2" w:id="63"/>
    <w:p>
      <w:pPr>
        <w:spacing w:after="0"/>
        <w:ind w:left="0"/>
        <w:jc w:val="both"/>
      </w:pPr>
      <w:r>
        <w:rPr>
          <w:rFonts w:ascii="Times New Roman"/>
          <w:b w:val="false"/>
          <w:i w:val="false"/>
          <w:color w:val="000000"/>
          <w:sz w:val="28"/>
        </w:rPr>
        <w:t>
      "2. Государственная услуга оказывается Комитетом по регулированию игорного бизнеса и лотереи Министерства туризма и спорта Республики Казахстан (далее – услугодатель) юридическим лицам (далее – услугополучатель) в соответствии с настоящими Правилами.";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84" w:id="64"/>
    <w:p>
      <w:pPr>
        <w:spacing w:after="0"/>
        <w:ind w:left="0"/>
        <w:jc w:val="both"/>
      </w:pPr>
      <w:r>
        <w:rPr>
          <w:rFonts w:ascii="Times New Roman"/>
          <w:b w:val="false"/>
          <w:i w:val="false"/>
          <w:color w:val="000000"/>
          <w:sz w:val="28"/>
        </w:rPr>
        <w:t>
      "4. Для получения государственной услуги услугополучатель обращается к услугодателю через веб-портал "цифрового правительства" www.egov.kz (далее – портал), цифровую систему "Государственная база данных "Е-лицензирование" www.elicense.kz (далее – ГБД ЕЛ).</w:t>
      </w:r>
    </w:p>
    <w:bookmarkEnd w:id="64"/>
    <w:bookmarkStart w:name="z85" w:id="65"/>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5"/>
    <w:bookmarkStart w:name="z86" w:id="66"/>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цифровых систем через шлюз "цифрового правительства".</w:t>
      </w:r>
    </w:p>
    <w:bookmarkEnd w:id="66"/>
    <w:bookmarkStart w:name="z87" w:id="67"/>
    <w:p>
      <w:pPr>
        <w:spacing w:after="0"/>
        <w:ind w:left="0"/>
        <w:jc w:val="both"/>
      </w:pPr>
      <w:r>
        <w:rPr>
          <w:rFonts w:ascii="Times New Roman"/>
          <w:b w:val="false"/>
          <w:i w:val="false"/>
          <w:color w:val="000000"/>
          <w:sz w:val="28"/>
        </w:rPr>
        <w:t xml:space="preserve">
      6. Услугодатель в течение двух рабочих дней с момента получения документов проверяет полноту представленных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случаях представления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 в форме электронного документа, подписанный электронной цифровой подписью (далее – ЭЦП) руководителя услугодателя, и направляет услугополучателю в личный кабинет ГБД ЕЛ.</w:t>
      </w:r>
    </w:p>
    <w:bookmarkEnd w:id="67"/>
    <w:bookmarkStart w:name="z88" w:id="68"/>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услугодателем подготавливается, визируется/подписывается приказ на выдачу лицензии в течение 10 (десяти) рабочих дней, переоформления лицензии – 3 (трех) рабочих дней.</w:t>
      </w:r>
    </w:p>
    <w:bookmarkEnd w:id="68"/>
    <w:bookmarkStart w:name="z89" w:id="69"/>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69"/>
    <w:bookmarkStart w:name="z90" w:id="7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0"/>
    <w:bookmarkStart w:name="z91" w:id="71"/>
    <w:p>
      <w:pPr>
        <w:spacing w:after="0"/>
        <w:ind w:left="0"/>
        <w:jc w:val="both"/>
      </w:pPr>
      <w:r>
        <w:rPr>
          <w:rFonts w:ascii="Times New Roman"/>
          <w:b w:val="false"/>
          <w:i w:val="false"/>
          <w:color w:val="000000"/>
          <w:sz w:val="28"/>
        </w:rPr>
        <w:t>
      По результатам заслушивания услугодатель выдает в ГБД ЕЛ результат оказания государственной услуги либо мотивированный ответ об отказе в оказании государственной услуги.</w:t>
      </w:r>
    </w:p>
    <w:bookmarkEnd w:id="71"/>
    <w:bookmarkStart w:name="z92" w:id="72"/>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2"/>
    <w:bookmarkStart w:name="z93" w:id="73"/>
    <w:p>
      <w:pPr>
        <w:spacing w:after="0"/>
        <w:ind w:left="0"/>
        <w:jc w:val="both"/>
      </w:pPr>
      <w:r>
        <w:rPr>
          <w:rFonts w:ascii="Times New Roman"/>
          <w:b w:val="false"/>
          <w:i w:val="false"/>
          <w:color w:val="000000"/>
          <w:sz w:val="28"/>
        </w:rPr>
        <w:t>
      Уполномоченный орган в сфере игорного бизнеса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 и оператору "цифрового правительства" в течение 3 (трех) рабочих дней после государственной регистрации в органах юстиции соответствующего нормативного правового акта.";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w:t>
      </w:r>
    </w:p>
    <w:bookmarkStart w:name="z95"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деятельностью букмекерской конторы", утвержденных указанным приказом: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7" w:id="7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деятельностью букмекерской конторы"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занятие деятельностью букмекерской конторы" (далее – государственная услуга).";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9" w:id="76"/>
    <w:p>
      <w:pPr>
        <w:spacing w:after="0"/>
        <w:ind w:left="0"/>
        <w:jc w:val="both"/>
      </w:pPr>
      <w:r>
        <w:rPr>
          <w:rFonts w:ascii="Times New Roman"/>
          <w:b w:val="false"/>
          <w:i w:val="false"/>
          <w:color w:val="000000"/>
          <w:sz w:val="28"/>
        </w:rPr>
        <w:t>
      "2. Государственная услуга оказывается Комитетом по регулированию игорного бизнеса и лотереи Министерства туризма и спорта Республики Казахстан (далее – услугодатель) юридическим лицам (далее – услугополучатель) в соответствии с настоящими Правилами.";</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01" w:id="77"/>
    <w:p>
      <w:pPr>
        <w:spacing w:after="0"/>
        <w:ind w:left="0"/>
        <w:jc w:val="both"/>
      </w:pPr>
      <w:r>
        <w:rPr>
          <w:rFonts w:ascii="Times New Roman"/>
          <w:b w:val="false"/>
          <w:i w:val="false"/>
          <w:color w:val="000000"/>
          <w:sz w:val="28"/>
        </w:rPr>
        <w:t>
      "4. Для получения государственной услуги услугополучатель обращается к услугодателю через веб-портал "электронного правительства" www.egov.kz (далее – портал), цифровую систему "Государственная база данных "Е-лицензирование" www.elicense.kz (далее – ГБД ЕЛ).</w:t>
      </w:r>
    </w:p>
    <w:bookmarkEnd w:id="77"/>
    <w:bookmarkStart w:name="z102" w:id="78"/>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78"/>
    <w:bookmarkStart w:name="z103" w:id="79"/>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цифровых систем через шлюз "цифрового правительства".</w:t>
      </w:r>
    </w:p>
    <w:bookmarkEnd w:id="79"/>
    <w:bookmarkStart w:name="z104" w:id="80"/>
    <w:p>
      <w:pPr>
        <w:spacing w:after="0"/>
        <w:ind w:left="0"/>
        <w:jc w:val="both"/>
      </w:pPr>
      <w:r>
        <w:rPr>
          <w:rFonts w:ascii="Times New Roman"/>
          <w:b w:val="false"/>
          <w:i w:val="false"/>
          <w:color w:val="000000"/>
          <w:sz w:val="28"/>
        </w:rPr>
        <w:t xml:space="preserve">
      6. Услугодатель в течение двух рабочих дней с момента получения документов проверяет полноту представленных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случаях представления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 в форме электронного документа, подписанный электронной цифровой подписью (далее – ЭЦП) руководителя услугодателя, и направляет услугополучателю в личный кабинет ГБД ЕЛ.</w:t>
      </w:r>
    </w:p>
    <w:bookmarkEnd w:id="80"/>
    <w:bookmarkStart w:name="z105" w:id="81"/>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услугодателем подготавливается, визируется/подписывается приказ на выдачу лицензии в течение 10 (десяти) рабочих дней, переоформления лицензии – 3 (трех) рабочих дней.</w:t>
      </w:r>
    </w:p>
    <w:bookmarkEnd w:id="81"/>
    <w:bookmarkStart w:name="z106" w:id="82"/>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82"/>
    <w:bookmarkStart w:name="z107" w:id="8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3"/>
    <w:bookmarkStart w:name="z108" w:id="84"/>
    <w:p>
      <w:pPr>
        <w:spacing w:after="0"/>
        <w:ind w:left="0"/>
        <w:jc w:val="both"/>
      </w:pPr>
      <w:r>
        <w:rPr>
          <w:rFonts w:ascii="Times New Roman"/>
          <w:b w:val="false"/>
          <w:i w:val="false"/>
          <w:color w:val="000000"/>
          <w:sz w:val="28"/>
        </w:rPr>
        <w:t>
      По результатам заслушивания услугодатель выдает в ГБД ЕЛ результат оказания государственной услуги либо мотивированный ответ об отказе в оказании государственной услуги.</w:t>
      </w:r>
    </w:p>
    <w:bookmarkEnd w:id="84"/>
    <w:bookmarkStart w:name="z109" w:id="85"/>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85"/>
    <w:bookmarkStart w:name="z110" w:id="86"/>
    <w:p>
      <w:pPr>
        <w:spacing w:after="0"/>
        <w:ind w:left="0"/>
        <w:jc w:val="both"/>
      </w:pPr>
      <w:r>
        <w:rPr>
          <w:rFonts w:ascii="Times New Roman"/>
          <w:b w:val="false"/>
          <w:i w:val="false"/>
          <w:color w:val="000000"/>
          <w:sz w:val="28"/>
        </w:rPr>
        <w:t>
      Уполномоченный орган в сфере игорного бизнеса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 и оператору "цифрового правительства" в течение 3 (трех) рабочих дней после государственной регистрации в органах юстиции соответствующего нормативного правового акта.";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Перечню;</w:t>
      </w:r>
    </w:p>
    <w:bookmarkStart w:name="z112"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деятельностью тотализатора", утвержденных указанным приказом: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4" w:id="8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деятельностью тотализатора"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занятие деятельностью тотализатора" (далее – государственная услуга).";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6" w:id="89"/>
    <w:p>
      <w:pPr>
        <w:spacing w:after="0"/>
        <w:ind w:left="0"/>
        <w:jc w:val="both"/>
      </w:pPr>
      <w:r>
        <w:rPr>
          <w:rFonts w:ascii="Times New Roman"/>
          <w:b w:val="false"/>
          <w:i w:val="false"/>
          <w:color w:val="000000"/>
          <w:sz w:val="28"/>
        </w:rPr>
        <w:t>
      "2. Государственная услуга оказывается Комитетом по регулированию игорного бизнеса и лотереи Министерства туризма и спорта Республики Казахстан (далее – услугодатель) юридическим лицам (далее – услугополучатель) в соответствии с настоящими Правилами.";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18" w:id="90"/>
    <w:p>
      <w:pPr>
        <w:spacing w:after="0"/>
        <w:ind w:left="0"/>
        <w:jc w:val="both"/>
      </w:pPr>
      <w:r>
        <w:rPr>
          <w:rFonts w:ascii="Times New Roman"/>
          <w:b w:val="false"/>
          <w:i w:val="false"/>
          <w:color w:val="000000"/>
          <w:sz w:val="28"/>
        </w:rPr>
        <w:t>
      "4. Для получения государственной услуги услугополучатель обращается к услугодателю через веб-портал "цифрового правительства" www.egov.kz (далее – портал), цифровую систему "Государственная база данных "Е-лицензирование" www.elicense.kz (далее – ГБД ЕЛ).</w:t>
      </w:r>
    </w:p>
    <w:bookmarkEnd w:id="90"/>
    <w:bookmarkStart w:name="z119" w:id="91"/>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 результат оказания государственной услуги,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91"/>
    <w:bookmarkStart w:name="z120" w:id="92"/>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цифровых систем через шлюз "цифрового правительства".</w:t>
      </w:r>
    </w:p>
    <w:bookmarkEnd w:id="92"/>
    <w:bookmarkStart w:name="z121" w:id="93"/>
    <w:p>
      <w:pPr>
        <w:spacing w:after="0"/>
        <w:ind w:left="0"/>
        <w:jc w:val="both"/>
      </w:pPr>
      <w:r>
        <w:rPr>
          <w:rFonts w:ascii="Times New Roman"/>
          <w:b w:val="false"/>
          <w:i w:val="false"/>
          <w:color w:val="000000"/>
          <w:sz w:val="28"/>
        </w:rPr>
        <w:t xml:space="preserve">
      6. Услугодатель в течение двух рабочих дней с момента получения документов проверяет полноту представленных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случаях представления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 в форме электронного документа, подписанный электронной цифровой подписью (далее – ЭЦП) руководителя услугодателя, и направляет услугополучателю в личный кабинет ГБД ЕЛ.</w:t>
      </w:r>
    </w:p>
    <w:bookmarkEnd w:id="93"/>
    <w:bookmarkStart w:name="z122" w:id="94"/>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услугодателем подготавливается, визируется/подписывается приказ на выдачу лицензии в течение 10 (десяти) рабочих дней, переоформления лицензии – 3 (трех) рабочих дней.</w:t>
      </w:r>
    </w:p>
    <w:bookmarkEnd w:id="94"/>
    <w:bookmarkStart w:name="z123" w:id="95"/>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95"/>
    <w:bookmarkStart w:name="z124" w:id="96"/>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6"/>
    <w:bookmarkStart w:name="z125" w:id="97"/>
    <w:p>
      <w:pPr>
        <w:spacing w:after="0"/>
        <w:ind w:left="0"/>
        <w:jc w:val="both"/>
      </w:pPr>
      <w:r>
        <w:rPr>
          <w:rFonts w:ascii="Times New Roman"/>
          <w:b w:val="false"/>
          <w:i w:val="false"/>
          <w:color w:val="000000"/>
          <w:sz w:val="28"/>
        </w:rPr>
        <w:t>
      По результатам заслушивания услугодатель выдает в ГБД ЕЛ результат оказания государственной услуги либо мотивированный ответ об отказе в оказании государственной услуги".</w:t>
      </w:r>
    </w:p>
    <w:bookmarkEnd w:id="97"/>
    <w:bookmarkStart w:name="z126" w:id="98"/>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98"/>
    <w:bookmarkStart w:name="z127" w:id="99"/>
    <w:p>
      <w:pPr>
        <w:spacing w:after="0"/>
        <w:ind w:left="0"/>
        <w:jc w:val="both"/>
      </w:pPr>
      <w:r>
        <w:rPr>
          <w:rFonts w:ascii="Times New Roman"/>
          <w:b w:val="false"/>
          <w:i w:val="false"/>
          <w:color w:val="000000"/>
          <w:sz w:val="28"/>
        </w:rPr>
        <w:t>
      Уполномоченный орган в сфере игорного бизнеса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 и оператору "цифрового правительства" в течение 3 (трех) рабочих дней после государственной регистрации в органах юстиции соответствующего нормативного правового акта.";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Перечню.</w:t>
      </w:r>
    </w:p>
    <w:bookmarkStart w:name="z129" w:id="10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10 сентября 2021 года № 282 "Об утверждении Правил осуществления систематического сбора информации и анализа содержания интернет-ресурсов на предмет наличия признаков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 (зарегистрирован в Реестре государственной регистрации нормативных правовых актов под № 24320) следующие изменения:</w:t>
      </w:r>
    </w:p>
    <w:bookmarkEnd w:id="100"/>
    <w:bookmarkStart w:name="z130"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систематического сбора информации и анализа содержания интернет-ресурсов на предмет наличия признаков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 утвержденных указанным приказом: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2" w:id="10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2"/>
    <w:bookmarkStart w:name="z133" w:id="103"/>
    <w:p>
      <w:pPr>
        <w:spacing w:after="0"/>
        <w:ind w:left="0"/>
        <w:jc w:val="both"/>
      </w:pPr>
      <w:r>
        <w:rPr>
          <w:rFonts w:ascii="Times New Roman"/>
          <w:b w:val="false"/>
          <w:i w:val="false"/>
          <w:color w:val="000000"/>
          <w:sz w:val="28"/>
        </w:rPr>
        <w:t>
      1) Интернет – всемирная система объединенных сетей телекоммуникаций и вычислительных ресурсов для передачи электронных цифровых ресурсов;</w:t>
      </w:r>
    </w:p>
    <w:bookmarkEnd w:id="103"/>
    <w:bookmarkStart w:name="z134" w:id="104"/>
    <w:p>
      <w:pPr>
        <w:spacing w:after="0"/>
        <w:ind w:left="0"/>
        <w:jc w:val="both"/>
      </w:pPr>
      <w:r>
        <w:rPr>
          <w:rFonts w:ascii="Times New Roman"/>
          <w:b w:val="false"/>
          <w:i w:val="false"/>
          <w:color w:val="000000"/>
          <w:sz w:val="28"/>
        </w:rPr>
        <w:t>
      2) интернет-казино – интернет-ресурс, реализующий возможность организации и проведения азартных игр в режиме реального времени посредством сети Интернет и (или) электронных денег и предусматривающий получение выигрыша;</w:t>
      </w:r>
    </w:p>
    <w:bookmarkEnd w:id="104"/>
    <w:bookmarkStart w:name="z135" w:id="105"/>
    <w:p>
      <w:pPr>
        <w:spacing w:after="0"/>
        <w:ind w:left="0"/>
        <w:jc w:val="both"/>
      </w:pPr>
      <w:r>
        <w:rPr>
          <w:rFonts w:ascii="Times New Roman"/>
          <w:b w:val="false"/>
          <w:i w:val="false"/>
          <w:color w:val="000000"/>
          <w:sz w:val="28"/>
        </w:rPr>
        <w:t>
      3) интернет-ресурс – информация (в текстовом, графическом, аудиовизуальном или ином виде), размещенная на аппаратно-программном комплексе, имеющем уникальный сетевой адрес и (или) доменное имя и функционирующем в Интернете;</w:t>
      </w:r>
    </w:p>
    <w:bookmarkEnd w:id="105"/>
    <w:bookmarkStart w:name="z136" w:id="106"/>
    <w:p>
      <w:pPr>
        <w:spacing w:after="0"/>
        <w:ind w:left="0"/>
        <w:jc w:val="both"/>
      </w:pPr>
      <w:r>
        <w:rPr>
          <w:rFonts w:ascii="Times New Roman"/>
          <w:b w:val="false"/>
          <w:i w:val="false"/>
          <w:color w:val="000000"/>
          <w:sz w:val="28"/>
        </w:rPr>
        <w:t>
      4) азартная игра – основанное на риске соглашение, предполагающее выигрыш, заключенное участниками между собой либо с организатором игорного бизнеса на исход события, в котором указанные лица принимают участие;</w:t>
      </w:r>
    </w:p>
    <w:bookmarkEnd w:id="106"/>
    <w:bookmarkStart w:name="z137" w:id="107"/>
    <w:p>
      <w:pPr>
        <w:spacing w:after="0"/>
        <w:ind w:left="0"/>
        <w:jc w:val="both"/>
      </w:pPr>
      <w:r>
        <w:rPr>
          <w:rFonts w:ascii="Times New Roman"/>
          <w:b w:val="false"/>
          <w:i w:val="false"/>
          <w:color w:val="000000"/>
          <w:sz w:val="28"/>
        </w:rPr>
        <w:t>
      5) мерчент ID – уникальный набор символов, идентифицирующих иностранную компанию как получателя платежа и (или) перевода денег с использованием платежных систем;</w:t>
      </w:r>
    </w:p>
    <w:bookmarkEnd w:id="107"/>
    <w:bookmarkStart w:name="z138" w:id="108"/>
    <w:p>
      <w:pPr>
        <w:spacing w:after="0"/>
        <w:ind w:left="0"/>
        <w:jc w:val="both"/>
      </w:pPr>
      <w:r>
        <w:rPr>
          <w:rFonts w:ascii="Times New Roman"/>
          <w:b w:val="false"/>
          <w:i w:val="false"/>
          <w:color w:val="000000"/>
          <w:sz w:val="28"/>
        </w:rPr>
        <w:t>
      6) организатор игорного бизнеса – юридическое лицо, осуществляющее организацию и проведение азартных игр и (или) пари в соответствии с требованиями, установленными законодательством Республики Казахстан;</w:t>
      </w:r>
    </w:p>
    <w:bookmarkEnd w:id="108"/>
    <w:bookmarkStart w:name="z139" w:id="109"/>
    <w:p>
      <w:pPr>
        <w:spacing w:after="0"/>
        <w:ind w:left="0"/>
        <w:jc w:val="both"/>
      </w:pPr>
      <w:r>
        <w:rPr>
          <w:rFonts w:ascii="Times New Roman"/>
          <w:b w:val="false"/>
          <w:i w:val="false"/>
          <w:color w:val="000000"/>
          <w:sz w:val="28"/>
        </w:rPr>
        <w:t>
      7) уполномоченный орган в сфере игорного бизнеса (далее - уполномоченный орган) – государственный орган, определяемый Правительством Республики Казахстан, осуществляющий реализацию государственной политики и контроль в сфере игорного бизнеса;</w:t>
      </w:r>
    </w:p>
    <w:bookmarkEnd w:id="109"/>
    <w:bookmarkStart w:name="z140" w:id="110"/>
    <w:p>
      <w:pPr>
        <w:spacing w:after="0"/>
        <w:ind w:left="0"/>
        <w:jc w:val="both"/>
      </w:pPr>
      <w:r>
        <w:rPr>
          <w:rFonts w:ascii="Times New Roman"/>
          <w:b w:val="false"/>
          <w:i w:val="false"/>
          <w:color w:val="000000"/>
          <w:sz w:val="28"/>
        </w:rPr>
        <w:t>
      8) выигрыш – имущественная выгода, подлежащая обязательной выплате участнику азартной игры и (или) пари при наступлении результата азартной игры и (или) пари, предусмотренного правилами, установленными организатором игорного бизнеса;</w:t>
      </w:r>
    </w:p>
    <w:bookmarkEnd w:id="110"/>
    <w:bookmarkStart w:name="z141" w:id="111"/>
    <w:p>
      <w:pPr>
        <w:spacing w:after="0"/>
        <w:ind w:left="0"/>
        <w:jc w:val="both"/>
      </w:pPr>
      <w:r>
        <w:rPr>
          <w:rFonts w:ascii="Times New Roman"/>
          <w:b w:val="false"/>
          <w:i w:val="false"/>
          <w:color w:val="000000"/>
          <w:sz w:val="28"/>
        </w:rPr>
        <w:t>
      9) электронные деньги –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3" w:id="112"/>
    <w:p>
      <w:pPr>
        <w:spacing w:after="0"/>
        <w:ind w:left="0"/>
        <w:jc w:val="both"/>
      </w:pPr>
      <w:r>
        <w:rPr>
          <w:rFonts w:ascii="Times New Roman"/>
          <w:b w:val="false"/>
          <w:i w:val="false"/>
          <w:color w:val="000000"/>
          <w:sz w:val="28"/>
        </w:rPr>
        <w:t>
      "9. По результатам систематического сбора информации и анализа содержания интернет-ресурсов на предмет наличия признаков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 уполномоченный орган по выявленным ссылкам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 загружает сведения в цифровую систему "Кибернадзор" для принятия мер уполномоченным органом в сфере информации по ограничению доступа к ним на территории Республики Казахстан.".</w:t>
      </w:r>
    </w:p>
    <w:bookmarkEnd w:id="112"/>
    <w:bookmarkStart w:name="z144" w:id="11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туризма и спорта Республики Казахстан от 9 октября 2024 года № 175 "Об утверждении Типовых правил работы игорного заведения, букмекерской конторы или тотализатора, приема ставок и проводимых азартных игр и (или) пари" (зарегистрирован в Реестре государственной регистрации нормативных правовых актов под № 35240) следующее изменение:</w:t>
      </w:r>
    </w:p>
    <w:bookmarkEnd w:id="113"/>
    <w:bookmarkStart w:name="z145"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работы игорного заведения, букмекерской конторы или тотализатора, приема ставок и проводимых азартных игр и (или) пари, утвержденных указанным приказом: </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7" w:id="115"/>
    <w:p>
      <w:pPr>
        <w:spacing w:after="0"/>
        <w:ind w:left="0"/>
        <w:jc w:val="both"/>
      </w:pPr>
      <w:r>
        <w:rPr>
          <w:rFonts w:ascii="Times New Roman"/>
          <w:b w:val="false"/>
          <w:i w:val="false"/>
          <w:color w:val="000000"/>
          <w:sz w:val="28"/>
        </w:rPr>
        <w:t>
      "2. В настоящих Типовых правилах используются следующие термины и понятия:</w:t>
      </w:r>
    </w:p>
    <w:bookmarkEnd w:id="115"/>
    <w:bookmarkStart w:name="z148" w:id="116"/>
    <w:p>
      <w:pPr>
        <w:spacing w:after="0"/>
        <w:ind w:left="0"/>
        <w:jc w:val="both"/>
      </w:pPr>
      <w:r>
        <w:rPr>
          <w:rFonts w:ascii="Times New Roman"/>
          <w:b w:val="false"/>
          <w:i w:val="false"/>
          <w:color w:val="000000"/>
          <w:sz w:val="28"/>
        </w:rPr>
        <w:t>
      1) пари – основанное на риске соглашение, заключенное участниками между собой либо с организатором игорного бизнеса, на исход события, предполагающий выигрыш, в котором они не принимают участия;</w:t>
      </w:r>
    </w:p>
    <w:bookmarkEnd w:id="116"/>
    <w:bookmarkStart w:name="z149" w:id="117"/>
    <w:p>
      <w:pPr>
        <w:spacing w:after="0"/>
        <w:ind w:left="0"/>
        <w:jc w:val="both"/>
      </w:pPr>
      <w:r>
        <w:rPr>
          <w:rFonts w:ascii="Times New Roman"/>
          <w:b w:val="false"/>
          <w:i w:val="false"/>
          <w:color w:val="000000"/>
          <w:sz w:val="28"/>
        </w:rPr>
        <w:t>
      2) аккаунт участника пари (далее – аккаунт) – персональная учетная запись участника пари, открываемая организатором игорного бизнеса, осуществляющим деятельность букмекерской конторы и (или) тотализатора, посредством аппаратно-программного комплекса, при регистрации участника пари, для осуществления участником пари ставок и иных операций, необходимых для участия в пари и получения выигрышей, а также для учета информации о каждом участнике пари, передаваемых участником пари денег, принятых ставках на пари (в том числе электронных), коэффициентах на варианты исхода пари, выигрышах и выплатах по ним;</w:t>
      </w:r>
    </w:p>
    <w:bookmarkEnd w:id="117"/>
    <w:bookmarkStart w:name="z150" w:id="118"/>
    <w:p>
      <w:pPr>
        <w:spacing w:after="0"/>
        <w:ind w:left="0"/>
        <w:jc w:val="both"/>
      </w:pPr>
      <w:r>
        <w:rPr>
          <w:rFonts w:ascii="Times New Roman"/>
          <w:b w:val="false"/>
          <w:i w:val="false"/>
          <w:color w:val="000000"/>
          <w:sz w:val="28"/>
        </w:rPr>
        <w:t>
      3) бенефициарный собственник – физическое лицо:</w:t>
      </w:r>
    </w:p>
    <w:bookmarkEnd w:id="118"/>
    <w:bookmarkStart w:name="z151" w:id="119"/>
    <w:p>
      <w:pPr>
        <w:spacing w:after="0"/>
        <w:ind w:left="0"/>
        <w:jc w:val="both"/>
      </w:pPr>
      <w:r>
        <w:rPr>
          <w:rFonts w:ascii="Times New Roman"/>
          <w:b w:val="false"/>
          <w:i w:val="false"/>
          <w:color w:val="000000"/>
          <w:sz w:val="28"/>
        </w:rPr>
        <w:t>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юридического лица или иностранной структуры без образования юридического лица;</w:t>
      </w:r>
    </w:p>
    <w:bookmarkEnd w:id="119"/>
    <w:bookmarkStart w:name="z152" w:id="120"/>
    <w:p>
      <w:pPr>
        <w:spacing w:after="0"/>
        <w:ind w:left="0"/>
        <w:jc w:val="both"/>
      </w:pPr>
      <w:r>
        <w:rPr>
          <w:rFonts w:ascii="Times New Roman"/>
          <w:b w:val="false"/>
          <w:i w:val="false"/>
          <w:color w:val="000000"/>
          <w:sz w:val="28"/>
        </w:rPr>
        <w:t>
      осуществляющее контроль над юридическим лицом или иностранной структурой без образования юридического лица иным образом;</w:t>
      </w:r>
    </w:p>
    <w:bookmarkEnd w:id="120"/>
    <w:bookmarkStart w:name="z153" w:id="121"/>
    <w:p>
      <w:pPr>
        <w:spacing w:after="0"/>
        <w:ind w:left="0"/>
        <w:jc w:val="both"/>
      </w:pPr>
      <w:r>
        <w:rPr>
          <w:rFonts w:ascii="Times New Roman"/>
          <w:b w:val="false"/>
          <w:i w:val="false"/>
          <w:color w:val="000000"/>
          <w:sz w:val="28"/>
        </w:rPr>
        <w:t>
      в интересах которого юридическим лицом или иностранной структурой без образования юридического лица совершаются операции с деньгами и (или) иным имуществом;</w:t>
      </w:r>
    </w:p>
    <w:bookmarkEnd w:id="121"/>
    <w:bookmarkStart w:name="z154" w:id="122"/>
    <w:p>
      <w:pPr>
        <w:spacing w:after="0"/>
        <w:ind w:left="0"/>
        <w:jc w:val="both"/>
      </w:pPr>
      <w:r>
        <w:rPr>
          <w:rFonts w:ascii="Times New Roman"/>
          <w:b w:val="false"/>
          <w:i w:val="false"/>
          <w:color w:val="000000"/>
          <w:sz w:val="28"/>
        </w:rPr>
        <w:t>
      4) уникальный идентификатор в ЕСУ – совокупность параметров, однозначно идентифицирующая участника пари для конкретного организатора игорного бизнеса, осуществляющего деятельность букмекерской конторы и (или) тотализатора;</w:t>
      </w:r>
    </w:p>
    <w:bookmarkEnd w:id="122"/>
    <w:bookmarkStart w:name="z155" w:id="123"/>
    <w:p>
      <w:pPr>
        <w:spacing w:after="0"/>
        <w:ind w:left="0"/>
        <w:jc w:val="both"/>
      </w:pPr>
      <w:r>
        <w:rPr>
          <w:rFonts w:ascii="Times New Roman"/>
          <w:b w:val="false"/>
          <w:i w:val="false"/>
          <w:color w:val="000000"/>
          <w:sz w:val="28"/>
        </w:rPr>
        <w:t>
      5) единая система учета (далее – ЕСУ) – совокупность программного обеспечения и технических средств, подключенных посредством сетей телекоммуникаций к аппаратно-программному комплексу букмекерской конторы и (или) тотализатора, обеспечивающих прием (осуществление) платежей с использованием электронных денег в электронных кассах тотализатора или букмекерской конторы, их учет и перевод организатору игорного бизнеса, осуществляющему деятельность букмекерской конторы и (или) тотализатора, по указанию физического лица, выплату выигрышей физическим лицам с использованием электронных денег, учет принятых (осуществленных) наличных и безналичных платежей в кассах тотализатора или букмекерской конторы от физического лица и выплаченных выигрышей в кассах тотализатора или букмекерской конторы, персонифицированный сбор, обработку и хранение информации о каждом участнике пари, принятых ставках на пари по каждому участнику пари, коэффициентах на варианты исхода пари, выигрышах и выплатах по ним, а также мониторинг по выявлению на территории Республики Казахстан интернет-ресурсов, содержащих признаки интернет-казино, букмекерских контор и (или) тотализаторов, не имеющих лицензий на право занятия деятельностью в сфере игорного бизнеса в Республике Казахстан, и передачу сведений по ним в уполномоченный орган в области масс-медиа;</w:t>
      </w:r>
    </w:p>
    <w:bookmarkEnd w:id="123"/>
    <w:bookmarkStart w:name="z156" w:id="124"/>
    <w:p>
      <w:pPr>
        <w:spacing w:after="0"/>
        <w:ind w:left="0"/>
        <w:jc w:val="both"/>
      </w:pPr>
      <w:r>
        <w:rPr>
          <w:rFonts w:ascii="Times New Roman"/>
          <w:b w:val="false"/>
          <w:i w:val="false"/>
          <w:color w:val="000000"/>
          <w:sz w:val="28"/>
        </w:rPr>
        <w:t>
      6) букмекерская контора – организатор игорного бизнеса, заключающий пари с участниками;</w:t>
      </w:r>
    </w:p>
    <w:bookmarkEnd w:id="124"/>
    <w:bookmarkStart w:name="z157" w:id="125"/>
    <w:p>
      <w:pPr>
        <w:spacing w:after="0"/>
        <w:ind w:left="0"/>
        <w:jc w:val="both"/>
      </w:pPr>
      <w:r>
        <w:rPr>
          <w:rFonts w:ascii="Times New Roman"/>
          <w:b w:val="false"/>
          <w:i w:val="false"/>
          <w:color w:val="000000"/>
          <w:sz w:val="28"/>
        </w:rPr>
        <w:t>
      7) легитимационные знаки – фишки, жетоны определенного номинала и (или) электронные носители, заменяющие наличные деньги и используемые в игорных заведениях для участия в азартных играх в порядке, определенном правилами организатора игорного бизнеса;</w:t>
      </w:r>
    </w:p>
    <w:bookmarkEnd w:id="125"/>
    <w:bookmarkStart w:name="z158" w:id="126"/>
    <w:p>
      <w:pPr>
        <w:spacing w:after="0"/>
        <w:ind w:left="0"/>
        <w:jc w:val="both"/>
      </w:pPr>
      <w:r>
        <w:rPr>
          <w:rFonts w:ascii="Times New Roman"/>
          <w:b w:val="false"/>
          <w:i w:val="false"/>
          <w:color w:val="000000"/>
          <w:sz w:val="28"/>
        </w:rPr>
        <w:t>
      8) казино – игорное заведение, в котором для организации и проведения азартных игр используются игровые столы;</w:t>
      </w:r>
    </w:p>
    <w:bookmarkEnd w:id="126"/>
    <w:bookmarkStart w:name="z159" w:id="127"/>
    <w:p>
      <w:pPr>
        <w:spacing w:after="0"/>
        <w:ind w:left="0"/>
        <w:jc w:val="both"/>
      </w:pPr>
      <w:r>
        <w:rPr>
          <w:rFonts w:ascii="Times New Roman"/>
          <w:b w:val="false"/>
          <w:i w:val="false"/>
          <w:color w:val="000000"/>
          <w:sz w:val="28"/>
        </w:rPr>
        <w:t>
      9) касса казино или зала игровых автоматов – место в игорном заведении, специально оборудованное организатором игорного бизнеса, где осуществляются операции с деньгами, а также выдача и (или) возврат легитимационных знаков;</w:t>
      </w:r>
    </w:p>
    <w:bookmarkEnd w:id="127"/>
    <w:bookmarkStart w:name="z160" w:id="128"/>
    <w:p>
      <w:pPr>
        <w:spacing w:after="0"/>
        <w:ind w:left="0"/>
        <w:jc w:val="both"/>
      </w:pPr>
      <w:r>
        <w:rPr>
          <w:rFonts w:ascii="Times New Roman"/>
          <w:b w:val="false"/>
          <w:i w:val="false"/>
          <w:color w:val="000000"/>
          <w:sz w:val="28"/>
        </w:rPr>
        <w:t>
      10) азартная игра – основанное на риске соглашение, предполагающее выигрыш, заключенное участниками между собой либо с организатором игорного бизнеса на исход события, в котором указанные лица принимают участие;</w:t>
      </w:r>
    </w:p>
    <w:bookmarkEnd w:id="128"/>
    <w:bookmarkStart w:name="z161" w:id="129"/>
    <w:p>
      <w:pPr>
        <w:spacing w:after="0"/>
        <w:ind w:left="0"/>
        <w:jc w:val="both"/>
      </w:pPr>
      <w:r>
        <w:rPr>
          <w:rFonts w:ascii="Times New Roman"/>
          <w:b w:val="false"/>
          <w:i w:val="false"/>
          <w:color w:val="000000"/>
          <w:sz w:val="28"/>
        </w:rPr>
        <w:t>
      11) участник азартной игры и (или) пари – физическое лицо, принимающее участие в азартной игре и (или) пари;</w:t>
      </w:r>
    </w:p>
    <w:bookmarkEnd w:id="129"/>
    <w:bookmarkStart w:name="z162" w:id="130"/>
    <w:p>
      <w:pPr>
        <w:spacing w:after="0"/>
        <w:ind w:left="0"/>
        <w:jc w:val="both"/>
      </w:pPr>
      <w:r>
        <w:rPr>
          <w:rFonts w:ascii="Times New Roman"/>
          <w:b w:val="false"/>
          <w:i w:val="false"/>
          <w:color w:val="000000"/>
          <w:sz w:val="28"/>
        </w:rPr>
        <w:t>
      12) лицо, ограниченное в участии в азартных играх и (или) пари – физическое лицо, которое вследствие злоупотребления азартными играми и (или) пари ограничено судом в дееспособности, а также гражданин Республики Казахстан, ограничивший себя от участия в азартных играх и (или) пари;</w:t>
      </w:r>
    </w:p>
    <w:bookmarkEnd w:id="130"/>
    <w:bookmarkStart w:name="z163" w:id="131"/>
    <w:p>
      <w:pPr>
        <w:spacing w:after="0"/>
        <w:ind w:left="0"/>
        <w:jc w:val="both"/>
      </w:pPr>
      <w:r>
        <w:rPr>
          <w:rFonts w:ascii="Times New Roman"/>
          <w:b w:val="false"/>
          <w:i w:val="false"/>
          <w:color w:val="000000"/>
          <w:sz w:val="28"/>
        </w:rPr>
        <w:t>
      13) ставка – сумма денег, передаваемых участником азартной игры и (или) пари организатору игорного бизнеса и являющихся основным условием участия в азартной игре и (или) пари в соответствии с правилами, установленными организатором игорного бизнеса;</w:t>
      </w:r>
    </w:p>
    <w:bookmarkEnd w:id="131"/>
    <w:bookmarkStart w:name="z164" w:id="132"/>
    <w:p>
      <w:pPr>
        <w:spacing w:after="0"/>
        <w:ind w:left="0"/>
        <w:jc w:val="both"/>
      </w:pPr>
      <w:r>
        <w:rPr>
          <w:rFonts w:ascii="Times New Roman"/>
          <w:b w:val="false"/>
          <w:i w:val="false"/>
          <w:color w:val="000000"/>
          <w:sz w:val="28"/>
        </w:rPr>
        <w:t>
      14) игровой автомат – игорное оборудование (механическое, электрическое, электронное или иное техническое оборудование), используемое для проведения азартных игр, выигрыш которого определяется случайным образом устройством, находящимся внутри корпуса такого игорного оборудования, без участия организатора игорного бизнеса или его работников;</w:t>
      </w:r>
    </w:p>
    <w:bookmarkEnd w:id="132"/>
    <w:bookmarkStart w:name="z165" w:id="133"/>
    <w:p>
      <w:pPr>
        <w:spacing w:after="0"/>
        <w:ind w:left="0"/>
        <w:jc w:val="both"/>
      </w:pPr>
      <w:r>
        <w:rPr>
          <w:rFonts w:ascii="Times New Roman"/>
          <w:b w:val="false"/>
          <w:i w:val="false"/>
          <w:color w:val="000000"/>
          <w:sz w:val="28"/>
        </w:rPr>
        <w:t>
      15) зал игровых автоматов – игорное заведение, в котором для организации и проведения азартных игр используются только игровые автоматы;</w:t>
      </w:r>
    </w:p>
    <w:bookmarkEnd w:id="133"/>
    <w:bookmarkStart w:name="z166" w:id="134"/>
    <w:p>
      <w:pPr>
        <w:spacing w:after="0"/>
        <w:ind w:left="0"/>
        <w:jc w:val="both"/>
      </w:pPr>
      <w:r>
        <w:rPr>
          <w:rFonts w:ascii="Times New Roman"/>
          <w:b w:val="false"/>
          <w:i w:val="false"/>
          <w:color w:val="000000"/>
          <w:sz w:val="28"/>
        </w:rPr>
        <w:t>
      16) игорный бизнес – предпринимательская деятельность, связанная с организацией и проведением азартных игр и (или) пари;</w:t>
      </w:r>
    </w:p>
    <w:bookmarkEnd w:id="134"/>
    <w:bookmarkStart w:name="z167" w:id="135"/>
    <w:p>
      <w:pPr>
        <w:spacing w:after="0"/>
        <w:ind w:left="0"/>
        <w:jc w:val="both"/>
      </w:pPr>
      <w:r>
        <w:rPr>
          <w:rFonts w:ascii="Times New Roman"/>
          <w:b w:val="false"/>
          <w:i w:val="false"/>
          <w:color w:val="000000"/>
          <w:sz w:val="28"/>
        </w:rPr>
        <w:t>
      17) организатор игорного бизнеса – юридическое лицо, осуществляющее организацию и проведение азартных игр и (или) пари в соответствии с требованиями, установленными законодательством Республики Казахстан;</w:t>
      </w:r>
    </w:p>
    <w:bookmarkEnd w:id="135"/>
    <w:bookmarkStart w:name="z168" w:id="136"/>
    <w:p>
      <w:pPr>
        <w:spacing w:after="0"/>
        <w:ind w:left="0"/>
        <w:jc w:val="both"/>
      </w:pPr>
      <w:r>
        <w:rPr>
          <w:rFonts w:ascii="Times New Roman"/>
          <w:b w:val="false"/>
          <w:i w:val="false"/>
          <w:color w:val="000000"/>
          <w:sz w:val="28"/>
        </w:rPr>
        <w:t>
      18) уполномоченный орган в сфере игорного бизнеса (далее – уполномоченный орган) – государственный орган, определяемый Правительством Республики Казахстан, осуществляющий реализацию государственной политики и контроль в сфере игорного бизнеса;</w:t>
      </w:r>
    </w:p>
    <w:bookmarkEnd w:id="136"/>
    <w:bookmarkStart w:name="z169" w:id="137"/>
    <w:p>
      <w:pPr>
        <w:spacing w:after="0"/>
        <w:ind w:left="0"/>
        <w:jc w:val="both"/>
      </w:pPr>
      <w:r>
        <w:rPr>
          <w:rFonts w:ascii="Times New Roman"/>
          <w:b w:val="false"/>
          <w:i w:val="false"/>
          <w:color w:val="000000"/>
          <w:sz w:val="28"/>
        </w:rPr>
        <w:t xml:space="preserve">
      19) игорное заведение – здание, помещение, сооружение, в которых проводятся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азартные игры, предусматривающие получение выигрыша;</w:t>
      </w:r>
    </w:p>
    <w:bookmarkEnd w:id="137"/>
    <w:bookmarkStart w:name="z170" w:id="138"/>
    <w:p>
      <w:pPr>
        <w:spacing w:after="0"/>
        <w:ind w:left="0"/>
        <w:jc w:val="both"/>
      </w:pPr>
      <w:r>
        <w:rPr>
          <w:rFonts w:ascii="Times New Roman"/>
          <w:b w:val="false"/>
          <w:i w:val="false"/>
          <w:color w:val="000000"/>
          <w:sz w:val="28"/>
        </w:rPr>
        <w:t>
      20) игровая сессия – определяемый правилами организатора игорного бизнеса порядок взаимодействия участника азартной игры с организатором игорного бизнеса, завершающегося выявлением (фиксацией) выигрыша;</w:t>
      </w:r>
    </w:p>
    <w:bookmarkEnd w:id="138"/>
    <w:bookmarkStart w:name="z171" w:id="139"/>
    <w:p>
      <w:pPr>
        <w:spacing w:after="0"/>
        <w:ind w:left="0"/>
        <w:jc w:val="both"/>
      </w:pPr>
      <w:r>
        <w:rPr>
          <w:rFonts w:ascii="Times New Roman"/>
          <w:b w:val="false"/>
          <w:i w:val="false"/>
          <w:color w:val="000000"/>
          <w:sz w:val="28"/>
        </w:rPr>
        <w:t>
      21) тотализатор – организатор игорного бизнеса, оказывающий посреднические услуги при заключении пари между его участниками;</w:t>
      </w:r>
    </w:p>
    <w:bookmarkEnd w:id="139"/>
    <w:bookmarkStart w:name="z172" w:id="140"/>
    <w:p>
      <w:pPr>
        <w:spacing w:after="0"/>
        <w:ind w:left="0"/>
        <w:jc w:val="both"/>
      </w:pPr>
      <w:r>
        <w:rPr>
          <w:rFonts w:ascii="Times New Roman"/>
          <w:b w:val="false"/>
          <w:i w:val="false"/>
          <w:color w:val="000000"/>
          <w:sz w:val="28"/>
        </w:rPr>
        <w:t>
      22) касса тотализатора или букмекерской конторы – место, где осуществляются прием ставок на пари, выплата выигрыша по нему;</w:t>
      </w:r>
    </w:p>
    <w:bookmarkEnd w:id="140"/>
    <w:bookmarkStart w:name="z173" w:id="141"/>
    <w:p>
      <w:pPr>
        <w:spacing w:after="0"/>
        <w:ind w:left="0"/>
        <w:jc w:val="both"/>
      </w:pPr>
      <w:r>
        <w:rPr>
          <w:rFonts w:ascii="Times New Roman"/>
          <w:b w:val="false"/>
          <w:i w:val="false"/>
          <w:color w:val="000000"/>
          <w:sz w:val="28"/>
        </w:rPr>
        <w:t>
      23) электронная касса тотализатора или букмекерской конторы – цифровая система, посредством которой осуществляется прием (учет) ставок и производятся выплаты выигрышей в информационно-коммуникационных сетях через единую систему учета, обеспечивающую осуществление расчетов по ставкам и выигрышам;</w:t>
      </w:r>
    </w:p>
    <w:bookmarkEnd w:id="141"/>
    <w:bookmarkStart w:name="z174" w:id="142"/>
    <w:p>
      <w:pPr>
        <w:spacing w:after="0"/>
        <w:ind w:left="0"/>
        <w:jc w:val="both"/>
      </w:pPr>
      <w:r>
        <w:rPr>
          <w:rFonts w:ascii="Times New Roman"/>
          <w:b w:val="false"/>
          <w:i w:val="false"/>
          <w:color w:val="000000"/>
          <w:sz w:val="28"/>
        </w:rPr>
        <w:t>
      24) выигрыш – имущественная выгода, подлежащая обязательной выплате участнику азартной игры и (или) пари при наступлении результата азартной игры и (или) пари, предусмотренного правилами, установленными организатором игорного бизнеса;</w:t>
      </w:r>
    </w:p>
    <w:bookmarkEnd w:id="142"/>
    <w:bookmarkStart w:name="z175" w:id="143"/>
    <w:p>
      <w:pPr>
        <w:spacing w:after="0"/>
        <w:ind w:left="0"/>
        <w:jc w:val="both"/>
      </w:pPr>
      <w:r>
        <w:rPr>
          <w:rFonts w:ascii="Times New Roman"/>
          <w:b w:val="false"/>
          <w:i w:val="false"/>
          <w:color w:val="000000"/>
          <w:sz w:val="28"/>
        </w:rPr>
        <w:t>
      25) электронный кошелек электронных денег (далее – электронный кошелек) – способ учета и хранения электронных денег, обеспечивающий распоряжение ими.";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77" w:id="144"/>
    <w:p>
      <w:pPr>
        <w:spacing w:after="0"/>
        <w:ind w:left="0"/>
        <w:jc w:val="both"/>
      </w:pPr>
      <w:r>
        <w:rPr>
          <w:rFonts w:ascii="Times New Roman"/>
          <w:b w:val="false"/>
          <w:i w:val="false"/>
          <w:color w:val="000000"/>
          <w:sz w:val="28"/>
        </w:rPr>
        <w:t xml:space="preserve">
      "26. Организаторы игорного бизнеса, осуществляющие деятельность букмекерской конторы или тотализатора, принимают меры по надлежащей проверке участников пари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 ПОД/ФТ/ФРОМУ.</w:t>
      </w:r>
    </w:p>
    <w:bookmarkEnd w:id="144"/>
    <w:bookmarkStart w:name="z178" w:id="145"/>
    <w:p>
      <w:pPr>
        <w:spacing w:after="0"/>
        <w:ind w:left="0"/>
        <w:jc w:val="both"/>
      </w:pPr>
      <w:r>
        <w:rPr>
          <w:rFonts w:ascii="Times New Roman"/>
          <w:b w:val="false"/>
          <w:i w:val="false"/>
          <w:color w:val="000000"/>
          <w:sz w:val="28"/>
        </w:rPr>
        <w:t>
      Организаторы игорного бизнеса, осуществляющие деятельность букмекерской конторы или тотализатора, проводят надлежащую проверку участников пари самостоятельно или поручают проведение мер надлежащей проверки участников пари юридическому лицу, обеспечивающему функционирование ЕСУ, и (или) юридическому лицу, привлеченному им для оказания услуг платежной организации.";</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80" w:id="146"/>
    <w:p>
      <w:pPr>
        <w:spacing w:after="0"/>
        <w:ind w:left="0"/>
        <w:jc w:val="both"/>
      </w:pPr>
      <w:r>
        <w:rPr>
          <w:rFonts w:ascii="Times New Roman"/>
          <w:b w:val="false"/>
          <w:i w:val="false"/>
          <w:color w:val="000000"/>
          <w:sz w:val="28"/>
        </w:rPr>
        <w:t>
      "27. Организатор игорного бизнеса, осуществляющий деятельность букмекерской конторы или тотализатора, до принятия ставки производит регистрацию участника пари посредством аппаратно-программного комплекса путем открытия аккаунта, в том числе в ЕСУ, с внесением следующих данных:</w:t>
      </w:r>
    </w:p>
    <w:bookmarkEnd w:id="146"/>
    <w:bookmarkStart w:name="z181" w:id="147"/>
    <w:p>
      <w:pPr>
        <w:spacing w:after="0"/>
        <w:ind w:left="0"/>
        <w:jc w:val="both"/>
      </w:pPr>
      <w:r>
        <w:rPr>
          <w:rFonts w:ascii="Times New Roman"/>
          <w:b w:val="false"/>
          <w:i w:val="false"/>
          <w:color w:val="000000"/>
          <w:sz w:val="28"/>
        </w:rPr>
        <w:t>
      1) фамилия, имя, отчество (при наличии);</w:t>
      </w:r>
    </w:p>
    <w:bookmarkEnd w:id="147"/>
    <w:bookmarkStart w:name="z182" w:id="148"/>
    <w:p>
      <w:pPr>
        <w:spacing w:after="0"/>
        <w:ind w:left="0"/>
        <w:jc w:val="both"/>
      </w:pPr>
      <w:r>
        <w:rPr>
          <w:rFonts w:ascii="Times New Roman"/>
          <w:b w:val="false"/>
          <w:i w:val="false"/>
          <w:color w:val="000000"/>
          <w:sz w:val="28"/>
        </w:rPr>
        <w:t>
      2) гражданство (для иностранца);</w:t>
      </w:r>
    </w:p>
    <w:bookmarkEnd w:id="148"/>
    <w:bookmarkStart w:name="z183" w:id="149"/>
    <w:p>
      <w:pPr>
        <w:spacing w:after="0"/>
        <w:ind w:left="0"/>
        <w:jc w:val="both"/>
      </w:pPr>
      <w:r>
        <w:rPr>
          <w:rFonts w:ascii="Times New Roman"/>
          <w:b w:val="false"/>
          <w:i w:val="false"/>
          <w:color w:val="000000"/>
          <w:sz w:val="28"/>
        </w:rPr>
        <w:t>
      3) индивидуальный идентификационный номер (для гражданина Республики Казахстан);</w:t>
      </w:r>
    </w:p>
    <w:bookmarkEnd w:id="149"/>
    <w:bookmarkStart w:name="z184" w:id="150"/>
    <w:p>
      <w:pPr>
        <w:spacing w:after="0"/>
        <w:ind w:left="0"/>
        <w:jc w:val="both"/>
      </w:pPr>
      <w:r>
        <w:rPr>
          <w:rFonts w:ascii="Times New Roman"/>
          <w:b w:val="false"/>
          <w:i w:val="false"/>
          <w:color w:val="000000"/>
          <w:sz w:val="28"/>
        </w:rPr>
        <w:t>
      4) индивидуальный идентификационный номер, указанный в виде на жительство иностранца в Республике Казахстан или номер заграничного паспорта (для иностранца);</w:t>
      </w:r>
    </w:p>
    <w:bookmarkEnd w:id="150"/>
    <w:bookmarkStart w:name="z185" w:id="151"/>
    <w:p>
      <w:pPr>
        <w:spacing w:after="0"/>
        <w:ind w:left="0"/>
        <w:jc w:val="both"/>
      </w:pPr>
      <w:r>
        <w:rPr>
          <w:rFonts w:ascii="Times New Roman"/>
          <w:b w:val="false"/>
          <w:i w:val="false"/>
          <w:color w:val="000000"/>
          <w:sz w:val="28"/>
        </w:rPr>
        <w:t>
      5) индивидуальный идентификационный номер, указанный в удостоверении лица без гражданства (для лица без гражданства);</w:t>
      </w:r>
    </w:p>
    <w:bookmarkEnd w:id="151"/>
    <w:bookmarkStart w:name="z186" w:id="152"/>
    <w:p>
      <w:pPr>
        <w:spacing w:after="0"/>
        <w:ind w:left="0"/>
        <w:jc w:val="both"/>
      </w:pPr>
      <w:r>
        <w:rPr>
          <w:rFonts w:ascii="Times New Roman"/>
          <w:b w:val="false"/>
          <w:i w:val="false"/>
          <w:color w:val="000000"/>
          <w:sz w:val="28"/>
        </w:rPr>
        <w:t>
      6) дата рождения;</w:t>
      </w:r>
    </w:p>
    <w:bookmarkEnd w:id="152"/>
    <w:bookmarkStart w:name="z187" w:id="153"/>
    <w:p>
      <w:pPr>
        <w:spacing w:after="0"/>
        <w:ind w:left="0"/>
        <w:jc w:val="both"/>
      </w:pPr>
      <w:r>
        <w:rPr>
          <w:rFonts w:ascii="Times New Roman"/>
          <w:b w:val="false"/>
          <w:i w:val="false"/>
          <w:color w:val="000000"/>
          <w:sz w:val="28"/>
        </w:rPr>
        <w:t>
      7) род деятельности, место работы (при наличии);</w:t>
      </w:r>
    </w:p>
    <w:bookmarkEnd w:id="153"/>
    <w:bookmarkStart w:name="z188" w:id="154"/>
    <w:p>
      <w:pPr>
        <w:spacing w:after="0"/>
        <w:ind w:left="0"/>
        <w:jc w:val="both"/>
      </w:pPr>
      <w:r>
        <w:rPr>
          <w:rFonts w:ascii="Times New Roman"/>
          <w:b w:val="false"/>
          <w:i w:val="false"/>
          <w:color w:val="000000"/>
          <w:sz w:val="28"/>
        </w:rPr>
        <w:t>
      8) личный абонентский номер сотовой связи;</w:t>
      </w:r>
    </w:p>
    <w:bookmarkEnd w:id="154"/>
    <w:bookmarkStart w:name="z189" w:id="155"/>
    <w:p>
      <w:pPr>
        <w:spacing w:after="0"/>
        <w:ind w:left="0"/>
        <w:jc w:val="both"/>
      </w:pPr>
      <w:r>
        <w:rPr>
          <w:rFonts w:ascii="Times New Roman"/>
          <w:b w:val="false"/>
          <w:i w:val="false"/>
          <w:color w:val="000000"/>
          <w:sz w:val="28"/>
        </w:rPr>
        <w:t>
      9) банковский счет, принадлежащий физическому лицу;</w:t>
      </w:r>
    </w:p>
    <w:bookmarkEnd w:id="155"/>
    <w:bookmarkStart w:name="z190" w:id="156"/>
    <w:p>
      <w:pPr>
        <w:spacing w:after="0"/>
        <w:ind w:left="0"/>
        <w:jc w:val="both"/>
      </w:pPr>
      <w:r>
        <w:rPr>
          <w:rFonts w:ascii="Times New Roman"/>
          <w:b w:val="false"/>
          <w:i w:val="false"/>
          <w:color w:val="000000"/>
          <w:sz w:val="28"/>
        </w:rPr>
        <w:t>
      10) уникальный идентификатор в ЕСУ.</w:t>
      </w:r>
    </w:p>
    <w:bookmarkEnd w:id="156"/>
    <w:bookmarkStart w:name="z191" w:id="157"/>
    <w:p>
      <w:pPr>
        <w:spacing w:after="0"/>
        <w:ind w:left="0"/>
        <w:jc w:val="both"/>
      </w:pPr>
      <w:r>
        <w:rPr>
          <w:rFonts w:ascii="Times New Roman"/>
          <w:b w:val="false"/>
          <w:i w:val="false"/>
          <w:color w:val="000000"/>
          <w:sz w:val="28"/>
        </w:rPr>
        <w:t xml:space="preserve">
      Уникальный идентификатор ЕСУ присваивается после прохождении регистрации и идентификации участника пари в ЕСУ. </w:t>
      </w:r>
    </w:p>
    <w:bookmarkEnd w:id="157"/>
    <w:bookmarkStart w:name="z192" w:id="158"/>
    <w:p>
      <w:pPr>
        <w:spacing w:after="0"/>
        <w:ind w:left="0"/>
        <w:jc w:val="both"/>
      </w:pPr>
      <w:r>
        <w:rPr>
          <w:rFonts w:ascii="Times New Roman"/>
          <w:b w:val="false"/>
          <w:i w:val="false"/>
          <w:color w:val="000000"/>
          <w:sz w:val="28"/>
        </w:rPr>
        <w:t>
      Участнику пари присваивается один уникальный идентификатор в ЕСУ для организатора игорного бизнеса, осуществляющего деятельность букмекерской конторы и (или) тотализатора. Для одного участника пари открывается один или несколько электронных кошельков в системе электронных денег ЕСУ. При этом, для расчетов участника пари с организатором игорного бизнеса, осуществляющим деятельность букмекерской конторы и (или) тотализатора, используется только один электронный кошелек в системе электронных денег ЕСУ.";</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94" w:id="159"/>
    <w:p>
      <w:pPr>
        <w:spacing w:after="0"/>
        <w:ind w:left="0"/>
        <w:jc w:val="both"/>
      </w:pPr>
      <w:r>
        <w:rPr>
          <w:rFonts w:ascii="Times New Roman"/>
          <w:b w:val="false"/>
          <w:i w:val="false"/>
          <w:color w:val="000000"/>
          <w:sz w:val="28"/>
        </w:rPr>
        <w:t>
      "35. Организатор игорного бизнеса, осуществляющий деятельность букмекерской конторы или тотализатора, принимает ставки через соответствующую кассу букмекерской конторы или тотализатора и направляет информацию о ставках для их учета в ЕСУ.</w:t>
      </w:r>
    </w:p>
    <w:bookmarkEnd w:id="159"/>
    <w:bookmarkStart w:name="z195" w:id="160"/>
    <w:p>
      <w:pPr>
        <w:spacing w:after="0"/>
        <w:ind w:left="0"/>
        <w:jc w:val="both"/>
      </w:pPr>
      <w:r>
        <w:rPr>
          <w:rFonts w:ascii="Times New Roman"/>
          <w:b w:val="false"/>
          <w:i w:val="false"/>
          <w:color w:val="000000"/>
          <w:sz w:val="28"/>
        </w:rPr>
        <w:t>
      Организатор игорного бизнеса, осуществляющий деятельность букмекерской конторы или тотализатора, принимает ставки в электронной кассе букмекерской конторы или тотализатора посредством ЕСУ.";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97" w:id="161"/>
    <w:p>
      <w:pPr>
        <w:spacing w:after="0"/>
        <w:ind w:left="0"/>
        <w:jc w:val="both"/>
      </w:pPr>
      <w:r>
        <w:rPr>
          <w:rFonts w:ascii="Times New Roman"/>
          <w:b w:val="false"/>
          <w:i w:val="false"/>
          <w:color w:val="000000"/>
          <w:sz w:val="28"/>
        </w:rPr>
        <w:t>
      "36. Организатор игорного бизнеса, осуществляющий деятельность букмекерской конторы или тотализатора, посредством аппаратно-программного комплекса и оборудования для организации и проведения пари осуществляет и обеспечивает прием, единый учет общей суммы сделанных ставок, обработку ставок участников пари и выплаты выигрыша, а также направление информации по ним в ЕСУ.";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99" w:id="162"/>
    <w:p>
      <w:pPr>
        <w:spacing w:after="0"/>
        <w:ind w:left="0"/>
        <w:jc w:val="both"/>
      </w:pPr>
      <w:r>
        <w:rPr>
          <w:rFonts w:ascii="Times New Roman"/>
          <w:b w:val="false"/>
          <w:i w:val="false"/>
          <w:color w:val="000000"/>
          <w:sz w:val="28"/>
        </w:rPr>
        <w:t>
      "37. Участник пари пополняет свой аккаунт наличными деньгами или безналичным способом, в том числе электронными деньгами.";</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201" w:id="163"/>
    <w:p>
      <w:pPr>
        <w:spacing w:after="0"/>
        <w:ind w:left="0"/>
        <w:jc w:val="both"/>
      </w:pPr>
      <w:r>
        <w:rPr>
          <w:rFonts w:ascii="Times New Roman"/>
          <w:b w:val="false"/>
          <w:i w:val="false"/>
          <w:color w:val="000000"/>
          <w:sz w:val="28"/>
        </w:rPr>
        <w:t>
      "44. Получение выигрыша участником пари по ставкам, принятым в электронной кассе тотализатора или букмекерской конторы, осуществляется путем перевода электронных денег с электронного кошелька в системе электронных денег ЕСУ букмекерской конторы и (или) тотализатора на электронный кошелек в системе электронных денег ЕСУ участника пари, с которого совершена ставка в соответствующую букмекерскую контору или тотализатор.</w:t>
      </w:r>
    </w:p>
    <w:bookmarkEnd w:id="163"/>
    <w:bookmarkStart w:name="z202" w:id="164"/>
    <w:p>
      <w:pPr>
        <w:spacing w:after="0"/>
        <w:ind w:left="0"/>
        <w:jc w:val="both"/>
      </w:pPr>
      <w:r>
        <w:rPr>
          <w:rFonts w:ascii="Times New Roman"/>
          <w:b w:val="false"/>
          <w:i w:val="false"/>
          <w:color w:val="000000"/>
          <w:sz w:val="28"/>
        </w:rPr>
        <w:t>
      Получение выигрыша участником пари безналичным способом осуществляется по реквизитам, указанным при регистрации участника пари по ставкам, принятым в кассе букмекерской конторы или тотализатора, осуществляется любым способом, не противоречащим законодательству Республики Казахстан. При этом учет выплаты выигрышей отражается в ЕСУ.".</w:t>
      </w:r>
    </w:p>
    <w:bookmarkEnd w:id="164"/>
    <w:bookmarkStart w:name="z203" w:id="16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туризма и спорта Республики Казахстан от 31 декабря 2024 года № 255 "Об утверждении Правил определения юридического лица, обеспечивающего функционирование единой системы учета, и предъявляемых к нему квалификационных требований" (зарегистрирован в Реестре государственной регистрации нормативных правовых актов под № 35607) следующее изменение:</w:t>
      </w:r>
    </w:p>
    <w:bookmarkEnd w:id="165"/>
    <w:bookmarkStart w:name="z204"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юридического лица, обеспечивающего функционирование единой системы учета, утвержденных указанным приказом:</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06" w:id="16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7"/>
    <w:bookmarkStart w:name="z207" w:id="168"/>
    <w:p>
      <w:pPr>
        <w:spacing w:after="0"/>
        <w:ind w:left="0"/>
        <w:jc w:val="both"/>
      </w:pPr>
      <w:r>
        <w:rPr>
          <w:rFonts w:ascii="Times New Roman"/>
          <w:b w:val="false"/>
          <w:i w:val="false"/>
          <w:color w:val="000000"/>
          <w:sz w:val="28"/>
        </w:rPr>
        <w:t>
      1) единая система учета – совокупность программного обеспечения и технических средств, подключенных посредством сетей телекоммуникаций к аппаратно-программному комплексу букмекерской конторы и (или) тотализатора, обеспечивающих прием (осуществление) платежей с использованием электронных денег в электронных кассах тотализатора или букмекерской конторы, их учет и перевод организатору игорного бизнеса, осуществляющему деятельность букмекерской конторы и (или) тотализатора, по указанию физического лица, выплату выигрышей физическим лицам с использованием электронных денег, учет принятых (осуществленных) наличных и безналичных платежей в кассах тотализатора или букмекерской конторы от физического лица и выплаченных выигрышей в кассах тотализатора или букмекерской конторы, персонифицированный сбор, обработку и хранение информации о каждом участнике пари, принятых ставках на пари по каждому участнику пари, коэффициентах на варианты исхода пари, выигрышах и выплатах по ним, а также мониторинг по выявлению на территории Республики Казахстан интернет-ресурсов, содержащих признаки интернет-казино, букмекерских контор и (или) тотализаторов, не имеющих лицензий на право занятия деятельностью в сфере игорного бизнеса в Республике Казахстан, и передачу сведений по ним в уполномоченный орган в области масс-медиа;</w:t>
      </w:r>
    </w:p>
    <w:bookmarkEnd w:id="168"/>
    <w:bookmarkStart w:name="z208" w:id="169"/>
    <w:p>
      <w:pPr>
        <w:spacing w:after="0"/>
        <w:ind w:left="0"/>
        <w:jc w:val="both"/>
      </w:pPr>
      <w:r>
        <w:rPr>
          <w:rFonts w:ascii="Times New Roman"/>
          <w:b w:val="false"/>
          <w:i w:val="false"/>
          <w:color w:val="000000"/>
          <w:sz w:val="28"/>
        </w:rPr>
        <w:t>
      2) уполномоченный орган в сфере игорного бизнеса (далее – уполномоченный орган) – государственный орган, определяемый Правительством Республики Казахстан, осуществляющий реализацию государственной политики и контроль в сфере игорного бизнеса.".</w:t>
      </w:r>
    </w:p>
    <w:bookmarkEnd w:id="169"/>
    <w:bookmarkStart w:name="z209" w:id="170"/>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туризма и спорта Республики Казахстан от 19 декабря 2025 года № 250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организаторов игорного бизнеса и лотереи" (зарегистрирован в Реестре государственной регистрации нормативных правовых актов под № 37648) следующее изменение:</w:t>
      </w:r>
    </w:p>
    <w:bookmarkEnd w:id="170"/>
    <w:bookmarkStart w:name="z210"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организаторов игорного бизнеса и лотереи, утвержденных указанным приказом:</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12" w:id="172"/>
    <w:p>
      <w:pPr>
        <w:spacing w:after="0"/>
        <w:ind w:left="0"/>
        <w:jc w:val="both"/>
      </w:pPr>
      <w:r>
        <w:rPr>
          <w:rFonts w:ascii="Times New Roman"/>
          <w:b w:val="false"/>
          <w:i w:val="false"/>
          <w:color w:val="000000"/>
          <w:sz w:val="28"/>
        </w:rPr>
        <w:t>
      "4. Для целей настоящих Требований используются следующие основные понятия:</w:t>
      </w:r>
    </w:p>
    <w:bookmarkEnd w:id="172"/>
    <w:bookmarkStart w:name="z213" w:id="173"/>
    <w:p>
      <w:pPr>
        <w:spacing w:after="0"/>
        <w:ind w:left="0"/>
        <w:jc w:val="both"/>
      </w:pPr>
      <w:r>
        <w:rPr>
          <w:rFonts w:ascii="Times New Roman"/>
          <w:b w:val="false"/>
          <w:i w:val="false"/>
          <w:color w:val="000000"/>
          <w:sz w:val="28"/>
        </w:rPr>
        <w:t>
      1) аппаратно-программный комплекс – совокупность программных и технических средств, обеспечивающих информационные процессы;</w:t>
      </w:r>
    </w:p>
    <w:bookmarkEnd w:id="173"/>
    <w:bookmarkStart w:name="z214" w:id="174"/>
    <w:p>
      <w:pPr>
        <w:spacing w:after="0"/>
        <w:ind w:left="0"/>
        <w:jc w:val="both"/>
      </w:pPr>
      <w:r>
        <w:rPr>
          <w:rFonts w:ascii="Times New Roman"/>
          <w:b w:val="false"/>
          <w:i w:val="false"/>
          <w:color w:val="000000"/>
          <w:sz w:val="28"/>
        </w:rPr>
        <w:t>
      2) единая система учета (далее – ЕСУ) – совокупность программного обеспечения и технических средств, подключенных посредством сетей телекоммуникаций к аппаратно-программному комплексу букмекерской конторы и (или) тотализатора, обеспечивающих прием (осуществление) платежей с использованием электронных денег в электронных кассах тотализатора или букмекерской конторы, их учет и перевод организатору игорного бизнеса, осуществляющему деятельность букмекерской конторы и (или) тотализатора, по указанию физического лица, выплату выигрышей физическим лицам с использованием электронных денег, учет принятых (осуществленных) наличных и безналичных платежей в кассах тотализатора или букмекерской конторы от физического лица и выплаченных выигрышей в кассах тотализатора или букмекерской конторы, персонифицированный сбор, обработку и хранение информации о каждом участнике пари, принятых ставках на пари по каждому участнику пари, коэффициентах на варианты исхода пари, выигрышах и выплатах по ним, а также мониторинг по выявлению на территории Республики Казахстан интернет-ресурсов, содержащих признаки интернет-казино, букмекерских контор и (или) тотализаторов, не имеющих лицензий на право занятия деятельностью в сфере игорного бизнеса в Республике Казахстан, и передачу сведений по ним в уполномоченный орган в области масс-медиа;</w:t>
      </w:r>
    </w:p>
    <w:bookmarkEnd w:id="174"/>
    <w:bookmarkStart w:name="z215" w:id="175"/>
    <w:p>
      <w:pPr>
        <w:spacing w:after="0"/>
        <w:ind w:left="0"/>
        <w:jc w:val="both"/>
      </w:pPr>
      <w:r>
        <w:rPr>
          <w:rFonts w:ascii="Times New Roman"/>
          <w:b w:val="false"/>
          <w:i w:val="false"/>
          <w:color w:val="000000"/>
          <w:sz w:val="28"/>
        </w:rPr>
        <w:t>
      3) личный кабинет – профиль пользователя (субъекта финансового мониторинга) на выделенных каналах связи уполномоченного органа в цифровой сети Интернет, обеспечивающий электронное взаимодействие его пользователей (субъектов финансового мониторинга) с уполномоченным органом;</w:t>
      </w:r>
    </w:p>
    <w:bookmarkEnd w:id="175"/>
    <w:bookmarkStart w:name="z216" w:id="176"/>
    <w:p>
      <w:pPr>
        <w:spacing w:after="0"/>
        <w:ind w:left="0"/>
        <w:jc w:val="both"/>
      </w:pPr>
      <w:r>
        <w:rPr>
          <w:rFonts w:ascii="Times New Roman"/>
          <w:b w:val="false"/>
          <w:i w:val="false"/>
          <w:color w:val="000000"/>
          <w:sz w:val="28"/>
        </w:rPr>
        <w:t xml:space="preserve">
      4) форма ФМ-1 – форма сведений и информации об операции, подлежащей финансовому мониторингу, предусмотренными Правилами представления субъектами финансового мониторинга сведений, утверждаемых уполномоченным органом по финансовому мониторингу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ПОД/ФТ/ФРОМУ),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w:t>
      </w:r>
    </w:p>
    <w:bookmarkEnd w:id="176"/>
    <w:bookmarkStart w:name="z217" w:id="177"/>
    <w:p>
      <w:pPr>
        <w:spacing w:after="0"/>
        <w:ind w:left="0"/>
        <w:jc w:val="both"/>
      </w:pPr>
      <w:r>
        <w:rPr>
          <w:rFonts w:ascii="Times New Roman"/>
          <w:b w:val="false"/>
          <w:i w:val="false"/>
          <w:color w:val="000000"/>
          <w:sz w:val="28"/>
        </w:rPr>
        <w:t>
      5) риски легализации (отмывания) доходов, полученных преступным путем, финансированию терроризма и финансированию распространения оружия массового уничтожения (далее – ОД/ФТ/ФРОМУ) – возможность преднамеренного или непреднамеренного вовлечения Субъектов в процессы легализации ОД/ФТ/ФРОМУ или иную преступную деятельность;</w:t>
      </w:r>
    </w:p>
    <w:bookmarkEnd w:id="177"/>
    <w:bookmarkStart w:name="z218" w:id="178"/>
    <w:p>
      <w:pPr>
        <w:spacing w:after="0"/>
        <w:ind w:left="0"/>
        <w:jc w:val="both"/>
      </w:pPr>
      <w:r>
        <w:rPr>
          <w:rFonts w:ascii="Times New Roman"/>
          <w:b w:val="false"/>
          <w:i w:val="false"/>
          <w:color w:val="000000"/>
          <w:sz w:val="28"/>
        </w:rPr>
        <w:t>
      6) управление рисками легализации (отмывания) доходов, полученных преступным путем, финансированию терроризма и финансированию распространения оружия массового уничтожения – совокупность принимаемых Субъектами мер по мониторингу, выявлению рисков легализации ОД/ФТ/ФРОМУ, а также их минимизации (в отношении услуг клиентов);</w:t>
      </w:r>
    </w:p>
    <w:bookmarkEnd w:id="178"/>
    <w:bookmarkStart w:name="z219" w:id="179"/>
    <w:p>
      <w:pPr>
        <w:spacing w:after="0"/>
        <w:ind w:left="0"/>
        <w:jc w:val="both"/>
      </w:pPr>
      <w:r>
        <w:rPr>
          <w:rFonts w:ascii="Times New Roman"/>
          <w:b w:val="false"/>
          <w:i w:val="false"/>
          <w:color w:val="000000"/>
          <w:sz w:val="28"/>
        </w:rPr>
        <w:t>
      7)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w:t>
      </w:r>
    </w:p>
    <w:bookmarkEnd w:id="179"/>
    <w:bookmarkStart w:name="z220" w:id="180"/>
    <w:p>
      <w:pPr>
        <w:spacing w:after="0"/>
        <w:ind w:left="0"/>
        <w:jc w:val="both"/>
      </w:pPr>
      <w:r>
        <w:rPr>
          <w:rFonts w:ascii="Times New Roman"/>
          <w:b w:val="false"/>
          <w:i w:val="false"/>
          <w:color w:val="000000"/>
          <w:sz w:val="28"/>
        </w:rPr>
        <w:t xml:space="preserve">
      8) уполномоченный орган – государственный орган, осуществляющий финансовый мониторинг и принимающий иные меры по ПОД/ФТ/ФРОМУ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22" w:id="181"/>
    <w:p>
      <w:pPr>
        <w:spacing w:after="0"/>
        <w:ind w:left="0"/>
        <w:jc w:val="both"/>
      </w:pPr>
      <w:r>
        <w:rPr>
          <w:rFonts w:ascii="Times New Roman"/>
          <w:b w:val="false"/>
          <w:i w:val="false"/>
          <w:color w:val="000000"/>
          <w:sz w:val="28"/>
        </w:rPr>
        <w:t>
      "11. Программа организации внутреннего контроля в целях ПОД/ФТ/ФРОМУ включает процедуры:</w:t>
      </w:r>
    </w:p>
    <w:bookmarkEnd w:id="181"/>
    <w:bookmarkStart w:name="z223" w:id="182"/>
    <w:p>
      <w:pPr>
        <w:spacing w:after="0"/>
        <w:ind w:left="0"/>
        <w:jc w:val="both"/>
      </w:pPr>
      <w:r>
        <w:rPr>
          <w:rFonts w:ascii="Times New Roman"/>
          <w:b w:val="false"/>
          <w:i w:val="false"/>
          <w:color w:val="000000"/>
          <w:sz w:val="28"/>
        </w:rPr>
        <w:t>
      1) предоставление сведений и информации о подозрительной деятельности клиента подлежащая финансовому мониторингу;</w:t>
      </w:r>
    </w:p>
    <w:bookmarkEnd w:id="182"/>
    <w:bookmarkStart w:name="z224" w:id="183"/>
    <w:p>
      <w:pPr>
        <w:spacing w:after="0"/>
        <w:ind w:left="0"/>
        <w:jc w:val="both"/>
      </w:pPr>
      <w:r>
        <w:rPr>
          <w:rFonts w:ascii="Times New Roman"/>
          <w:b w:val="false"/>
          <w:i w:val="false"/>
          <w:color w:val="000000"/>
          <w:sz w:val="28"/>
        </w:rPr>
        <w:t>
      2) применения автоматизированных информационных систем и программных обеспечений, используемых Субъектом для осуществления внутреннего контроля в целях ПОД/ФТ/ФРОМУ;</w:t>
      </w:r>
    </w:p>
    <w:bookmarkEnd w:id="183"/>
    <w:bookmarkStart w:name="z225" w:id="184"/>
    <w:p>
      <w:pPr>
        <w:spacing w:after="0"/>
        <w:ind w:left="0"/>
        <w:jc w:val="both"/>
      </w:pPr>
      <w:r>
        <w:rPr>
          <w:rFonts w:ascii="Times New Roman"/>
          <w:b w:val="false"/>
          <w:i w:val="false"/>
          <w:color w:val="000000"/>
          <w:sz w:val="28"/>
        </w:rPr>
        <w:t>
      3) отказа клиентам в установлении деловых отношений и прекращения деловых отношений, отказа в проведении операции с деньгами и (или) иным имуществом, и принятия мер по замораживанию операций с деньгами и (или) иным имуществом;</w:t>
      </w:r>
    </w:p>
    <w:bookmarkEnd w:id="184"/>
    <w:bookmarkStart w:name="z226" w:id="185"/>
    <w:p>
      <w:pPr>
        <w:spacing w:after="0"/>
        <w:ind w:left="0"/>
        <w:jc w:val="both"/>
      </w:pPr>
      <w:r>
        <w:rPr>
          <w:rFonts w:ascii="Times New Roman"/>
          <w:b w:val="false"/>
          <w:i w:val="false"/>
          <w:color w:val="000000"/>
          <w:sz w:val="28"/>
        </w:rPr>
        <w:t>
      4) признания Субъектом сложной, необычно крупной операции, подлежащей изучению, в качестве подозрительной операции;</w:t>
      </w:r>
    </w:p>
    <w:bookmarkEnd w:id="185"/>
    <w:bookmarkStart w:name="z227" w:id="186"/>
    <w:p>
      <w:pPr>
        <w:spacing w:after="0"/>
        <w:ind w:left="0"/>
        <w:jc w:val="both"/>
      </w:pPr>
      <w:r>
        <w:rPr>
          <w:rFonts w:ascii="Times New Roman"/>
          <w:b w:val="false"/>
          <w:i w:val="false"/>
          <w:color w:val="000000"/>
          <w:sz w:val="28"/>
        </w:rPr>
        <w:t>
      5) представления сведений и информации об операциях, подлежащих финансовому мониторингу, фактов отказа физическому лицу в установлении деловых отношений, прекращения деловых отношений с клиентом, отказа в проведении операции с деньгами и (или) иным имуществом в уполномоченный орган, включая указания и регламенты работы в автоматизированных информационных системах и программном обеспечении, используемых для передачи сведений, информации и документов в уполномоченный орган;</w:t>
      </w:r>
    </w:p>
    <w:bookmarkEnd w:id="186"/>
    <w:bookmarkStart w:name="z228" w:id="187"/>
    <w:p>
      <w:pPr>
        <w:spacing w:after="0"/>
        <w:ind w:left="0"/>
        <w:jc w:val="both"/>
      </w:pPr>
      <w:r>
        <w:rPr>
          <w:rFonts w:ascii="Times New Roman"/>
          <w:b w:val="false"/>
          <w:i w:val="false"/>
          <w:color w:val="000000"/>
          <w:sz w:val="28"/>
        </w:rPr>
        <w:t>
      6) документальное фиксирование операций, подлежащих финансовому мониторингу и направляемых в уполномоченный орган, осуществляется в порядке, установленном Субъектом;</w:t>
      </w:r>
    </w:p>
    <w:bookmarkEnd w:id="187"/>
    <w:bookmarkStart w:name="z229" w:id="188"/>
    <w:p>
      <w:pPr>
        <w:spacing w:after="0"/>
        <w:ind w:left="0"/>
        <w:jc w:val="both"/>
      </w:pPr>
      <w:r>
        <w:rPr>
          <w:rFonts w:ascii="Times New Roman"/>
          <w:b w:val="false"/>
          <w:i w:val="false"/>
          <w:color w:val="000000"/>
          <w:sz w:val="28"/>
        </w:rPr>
        <w:t>
      7) информирования работниками Субъекта руководителя о ставших им известными фактах нарушения законодательства Республики Казахстан о ПОД/ФТ/ФРОМУ, ПВК, допущенных работниками Субъекта;</w:t>
      </w:r>
    </w:p>
    <w:bookmarkEnd w:id="188"/>
    <w:bookmarkStart w:name="z230" w:id="189"/>
    <w:p>
      <w:pPr>
        <w:spacing w:after="0"/>
        <w:ind w:left="0"/>
        <w:jc w:val="both"/>
      </w:pPr>
      <w:r>
        <w:rPr>
          <w:rFonts w:ascii="Times New Roman"/>
          <w:b w:val="false"/>
          <w:i w:val="false"/>
          <w:color w:val="000000"/>
          <w:sz w:val="28"/>
        </w:rPr>
        <w:t>
      8) взаимодействия лица, ответственного за реализацию и соблюдение ПВК с другими подразделениями, персоналом Субъекта, филиалами, уполномоченными органами и их должностными лицами, при осуществлении внутреннего контроля в целях ПОД/ФТ/ФРОМУ;</w:t>
      </w:r>
    </w:p>
    <w:bookmarkEnd w:id="189"/>
    <w:bookmarkStart w:name="z231" w:id="190"/>
    <w:p>
      <w:pPr>
        <w:spacing w:after="0"/>
        <w:ind w:left="0"/>
        <w:jc w:val="both"/>
      </w:pPr>
      <w:r>
        <w:rPr>
          <w:rFonts w:ascii="Times New Roman"/>
          <w:b w:val="false"/>
          <w:i w:val="false"/>
          <w:color w:val="000000"/>
          <w:sz w:val="28"/>
        </w:rPr>
        <w:t>
      9) выполнения требований по ПОД/ФТ/ФРОМУ (при наличии), установленных юридическим лицом, которое имеет контроль над организацией;</w:t>
      </w:r>
    </w:p>
    <w:bookmarkEnd w:id="190"/>
    <w:bookmarkStart w:name="z232" w:id="191"/>
    <w:p>
      <w:pPr>
        <w:spacing w:after="0"/>
        <w:ind w:left="0"/>
        <w:jc w:val="both"/>
      </w:pPr>
      <w:r>
        <w:rPr>
          <w:rFonts w:ascii="Times New Roman"/>
          <w:b w:val="false"/>
          <w:i w:val="false"/>
          <w:color w:val="000000"/>
          <w:sz w:val="28"/>
        </w:rPr>
        <w:t>
      10) подготовки и представления уполномоченному органу и органу регулятору Субъектом, имеющим контроль над организацией, управленческой отчетности по результатам оценки эффективности внутреннего контроля в целях ПОД/ФТ/ФРОМУ службой внутреннего аудита организации либо иным органом, уполномоченным на проведение внутреннего аудита, а также проведения независимого аудита, в случае наличия решения на проведение независимого аудита;</w:t>
      </w:r>
    </w:p>
    <w:bookmarkEnd w:id="191"/>
    <w:bookmarkStart w:name="z233" w:id="192"/>
    <w:p>
      <w:pPr>
        <w:spacing w:after="0"/>
        <w:ind w:left="0"/>
        <w:jc w:val="both"/>
      </w:pPr>
      <w:r>
        <w:rPr>
          <w:rFonts w:ascii="Times New Roman"/>
          <w:b w:val="false"/>
          <w:i w:val="false"/>
          <w:color w:val="000000"/>
          <w:sz w:val="28"/>
        </w:rPr>
        <w:t>
      11) идентификации клиента (его представителя) и бенефициарного собственника, в том числе особенности процедур применения упрощенных и усиленных мер проверки клиента (его представителя) и бенефициарного собственника, юридического лица-нерезидента, иной иностранной структуры без образования юридического лица;</w:t>
      </w:r>
    </w:p>
    <w:bookmarkEnd w:id="192"/>
    <w:bookmarkStart w:name="z234" w:id="193"/>
    <w:p>
      <w:pPr>
        <w:spacing w:after="0"/>
        <w:ind w:left="0"/>
        <w:jc w:val="both"/>
      </w:pPr>
      <w:r>
        <w:rPr>
          <w:rFonts w:ascii="Times New Roman"/>
          <w:b w:val="false"/>
          <w:i w:val="false"/>
          <w:color w:val="000000"/>
          <w:sz w:val="28"/>
        </w:rPr>
        <w:t>
      12) признания операции клиента, имеющей характеристики, соответствующие типологиям, схемам и способам легализации ОД/ФТ/ФРОМУ в качестве подозрительной;</w:t>
      </w:r>
    </w:p>
    <w:bookmarkEnd w:id="193"/>
    <w:bookmarkStart w:name="z235" w:id="194"/>
    <w:p>
      <w:pPr>
        <w:spacing w:after="0"/>
        <w:ind w:left="0"/>
        <w:jc w:val="both"/>
      </w:pPr>
      <w:r>
        <w:rPr>
          <w:rFonts w:ascii="Times New Roman"/>
          <w:b w:val="false"/>
          <w:i w:val="false"/>
          <w:color w:val="000000"/>
          <w:sz w:val="28"/>
        </w:rPr>
        <w:t>
      13) оценки, определения, документального фиксирования и обновления результатов оценки рисков легализации ОД/ФТ/ФРОМУ;</w:t>
      </w:r>
    </w:p>
    <w:bookmarkEnd w:id="194"/>
    <w:bookmarkStart w:name="z236" w:id="195"/>
    <w:p>
      <w:pPr>
        <w:spacing w:after="0"/>
        <w:ind w:left="0"/>
        <w:jc w:val="both"/>
      </w:pPr>
      <w:r>
        <w:rPr>
          <w:rFonts w:ascii="Times New Roman"/>
          <w:b w:val="false"/>
          <w:i w:val="false"/>
          <w:color w:val="000000"/>
          <w:sz w:val="28"/>
        </w:rPr>
        <w:t>
      14) разработки мер контроля, процедуры по управлению рисками легализации ОД/ФТ/ФРОМУ и снижению рисков легализации ОД/ФТ/ФРОМУ;</w:t>
      </w:r>
    </w:p>
    <w:bookmarkEnd w:id="195"/>
    <w:bookmarkStart w:name="z237" w:id="196"/>
    <w:p>
      <w:pPr>
        <w:spacing w:after="0"/>
        <w:ind w:left="0"/>
        <w:jc w:val="both"/>
      </w:pPr>
      <w:r>
        <w:rPr>
          <w:rFonts w:ascii="Times New Roman"/>
          <w:b w:val="false"/>
          <w:i w:val="false"/>
          <w:color w:val="000000"/>
          <w:sz w:val="28"/>
        </w:rPr>
        <w:t>
      15) классификации своих клиентов с учетом степени риска легализации ОД/ФТ/ФРОМУ;</w:t>
      </w:r>
    </w:p>
    <w:bookmarkEnd w:id="196"/>
    <w:bookmarkStart w:name="z238" w:id="197"/>
    <w:p>
      <w:pPr>
        <w:spacing w:after="0"/>
        <w:ind w:left="0"/>
        <w:jc w:val="both"/>
      </w:pPr>
      <w:r>
        <w:rPr>
          <w:rFonts w:ascii="Times New Roman"/>
          <w:b w:val="false"/>
          <w:i w:val="false"/>
          <w:color w:val="000000"/>
          <w:sz w:val="28"/>
        </w:rPr>
        <w:t>
      16) хранения всех документов и сведений, в том числе по разовым операциям, а также, полученных по результатам надлежащей проверки клиента (его представителя) и бенефициарного собственника, включая досье клиента (его представителя) и бенефициарного собственника и переписку с ним, не менее пяти лет со дня прекращения деловых отношений с клиентом (его представителем) и бенефициарным собственником или после даты разовой сделки, с учетом возможности их использования в качестве доказательства в суде, чтобы они могли быть своевременно доступны уполномоченному органу, а также иным государственным органам в соответствии с их компетенцией;</w:t>
      </w:r>
    </w:p>
    <w:bookmarkEnd w:id="197"/>
    <w:bookmarkStart w:name="z239" w:id="198"/>
    <w:p>
      <w:pPr>
        <w:spacing w:after="0"/>
        <w:ind w:left="0"/>
        <w:jc w:val="both"/>
      </w:pPr>
      <w:r>
        <w:rPr>
          <w:rFonts w:ascii="Times New Roman"/>
          <w:b w:val="false"/>
          <w:i w:val="false"/>
          <w:color w:val="000000"/>
          <w:sz w:val="28"/>
        </w:rPr>
        <w:t>
      17) обеспечение взаимодействия аппаратно-программного комплекса с кассами букмекерских контор и (или) тотализаторов и осуществление аппаратно-программным комплексом сбора и предоставления информации, позволяющей уполномоченному органу в сфере игорного бизнеса осуществлять контроль за соблюдением законодательства о ПОД/ФТ/ФРОМУ;</w:t>
      </w:r>
    </w:p>
    <w:bookmarkEnd w:id="198"/>
    <w:bookmarkStart w:name="z240" w:id="199"/>
    <w:p>
      <w:pPr>
        <w:spacing w:after="0"/>
        <w:ind w:left="0"/>
        <w:jc w:val="both"/>
      </w:pPr>
      <w:r>
        <w:rPr>
          <w:rFonts w:ascii="Times New Roman"/>
          <w:b w:val="false"/>
          <w:i w:val="false"/>
          <w:color w:val="000000"/>
          <w:sz w:val="28"/>
        </w:rPr>
        <w:t>
      18) обеспечение интеграции автоматизированных цифровых систем букмекерских контор и (или) тотализаторов с ЕСУ;</w:t>
      </w:r>
    </w:p>
    <w:bookmarkEnd w:id="199"/>
    <w:bookmarkStart w:name="z241" w:id="200"/>
    <w:p>
      <w:pPr>
        <w:spacing w:after="0"/>
        <w:ind w:left="0"/>
        <w:jc w:val="both"/>
      </w:pPr>
      <w:r>
        <w:rPr>
          <w:rFonts w:ascii="Times New Roman"/>
          <w:b w:val="false"/>
          <w:i w:val="false"/>
          <w:color w:val="000000"/>
          <w:sz w:val="28"/>
        </w:rPr>
        <w:t>
      19) фиксация в автоматизированных системах Субъекта уникального идентификатора участника пари, присвоенного в ЕСУ, и сопоставление его с данными клиента, полученными при идентификации;</w:t>
      </w:r>
    </w:p>
    <w:bookmarkEnd w:id="200"/>
    <w:bookmarkStart w:name="z242" w:id="201"/>
    <w:p>
      <w:pPr>
        <w:spacing w:after="0"/>
        <w:ind w:left="0"/>
        <w:jc w:val="both"/>
      </w:pPr>
      <w:r>
        <w:rPr>
          <w:rFonts w:ascii="Times New Roman"/>
          <w:b w:val="false"/>
          <w:i w:val="false"/>
          <w:color w:val="000000"/>
          <w:sz w:val="28"/>
        </w:rPr>
        <w:t>
      20) использование электронных кошельков ЕСУ для осуществления расчетов по ставкам и выплатам выигрышей в случаях, установленных законодательством Республики Казахстан.</w:t>
      </w:r>
    </w:p>
    <w:bookmarkEnd w:id="201"/>
    <w:bookmarkStart w:name="z243" w:id="202"/>
    <w:p>
      <w:pPr>
        <w:spacing w:after="0"/>
        <w:ind w:left="0"/>
        <w:jc w:val="both"/>
      </w:pPr>
      <w:r>
        <w:rPr>
          <w:rFonts w:ascii="Times New Roman"/>
          <w:b w:val="false"/>
          <w:i w:val="false"/>
          <w:color w:val="000000"/>
          <w:sz w:val="28"/>
        </w:rPr>
        <w:t>
      Допускается включение Субъектом в программу дополнительных мер по организации внутреннего контроля в целях ПОД/ФТ/ФРОМУ.</w:t>
      </w:r>
    </w:p>
    <w:bookmarkEnd w:id="202"/>
    <w:bookmarkStart w:name="z244" w:id="203"/>
    <w:p>
      <w:pPr>
        <w:spacing w:after="0"/>
        <w:ind w:left="0"/>
        <w:jc w:val="both"/>
      </w:pPr>
      <w:r>
        <w:rPr>
          <w:rFonts w:ascii="Times New Roman"/>
          <w:b w:val="false"/>
          <w:i w:val="false"/>
          <w:color w:val="000000"/>
          <w:sz w:val="28"/>
        </w:rPr>
        <w:t>
      Субъекты назначают лицо, ответственное за реализацию и соблюдение ПВК (далее – ответственный работник)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 а также работников Субъектов, ответственных за реализацию и соблюдение ПВК (далее – работник подразделения по ПОД/ФТ/ФРОМУ).</w:t>
      </w:r>
    </w:p>
    <w:bookmarkEnd w:id="203"/>
    <w:bookmarkStart w:name="z245" w:id="204"/>
    <w:p>
      <w:pPr>
        <w:spacing w:after="0"/>
        <w:ind w:left="0"/>
        <w:jc w:val="both"/>
      </w:pPr>
      <w:r>
        <w:rPr>
          <w:rFonts w:ascii="Times New Roman"/>
          <w:b w:val="false"/>
          <w:i w:val="false"/>
          <w:color w:val="000000"/>
          <w:sz w:val="28"/>
        </w:rPr>
        <w:t>
      На должность ответственного работника назначается лицо, имеющее:</w:t>
      </w:r>
    </w:p>
    <w:bookmarkEnd w:id="204"/>
    <w:bookmarkStart w:name="z246" w:id="205"/>
    <w:p>
      <w:pPr>
        <w:spacing w:after="0"/>
        <w:ind w:left="0"/>
        <w:jc w:val="both"/>
      </w:pPr>
      <w:r>
        <w:rPr>
          <w:rFonts w:ascii="Times New Roman"/>
          <w:b w:val="false"/>
          <w:i w:val="false"/>
          <w:color w:val="000000"/>
          <w:sz w:val="28"/>
        </w:rPr>
        <w:t>
      высшее образование;</w:t>
      </w:r>
    </w:p>
    <w:bookmarkEnd w:id="205"/>
    <w:bookmarkStart w:name="z247" w:id="206"/>
    <w:p>
      <w:pPr>
        <w:spacing w:after="0"/>
        <w:ind w:left="0"/>
        <w:jc w:val="both"/>
      </w:pPr>
      <w:r>
        <w:rPr>
          <w:rFonts w:ascii="Times New Roman"/>
          <w:b w:val="false"/>
          <w:i w:val="false"/>
          <w:color w:val="000000"/>
          <w:sz w:val="28"/>
        </w:rPr>
        <w:t>
      стаж работы не менее двух лет в сфере игорного бизнеса;</w:t>
      </w:r>
    </w:p>
    <w:bookmarkEnd w:id="206"/>
    <w:bookmarkStart w:name="z248" w:id="207"/>
    <w:p>
      <w:pPr>
        <w:spacing w:after="0"/>
        <w:ind w:left="0"/>
        <w:jc w:val="both"/>
      </w:pPr>
      <w:r>
        <w:rPr>
          <w:rFonts w:ascii="Times New Roman"/>
          <w:b w:val="false"/>
          <w:i w:val="false"/>
          <w:color w:val="000000"/>
          <w:sz w:val="28"/>
        </w:rPr>
        <w:t>
      безупречную деловую репутацию;</w:t>
      </w:r>
    </w:p>
    <w:bookmarkEnd w:id="207"/>
    <w:bookmarkStart w:name="z249" w:id="208"/>
    <w:p>
      <w:pPr>
        <w:spacing w:after="0"/>
        <w:ind w:left="0"/>
        <w:jc w:val="both"/>
      </w:pPr>
      <w:r>
        <w:rPr>
          <w:rFonts w:ascii="Times New Roman"/>
          <w:b w:val="false"/>
          <w:i w:val="false"/>
          <w:color w:val="000000"/>
          <w:sz w:val="28"/>
        </w:rPr>
        <w:t>
      Сертификат о прохождении тестирования на знание законодательства о ПОД/ФТ/ФРОМУ.</w:t>
      </w:r>
    </w:p>
    <w:bookmarkEnd w:id="208"/>
    <w:bookmarkStart w:name="z250" w:id="209"/>
    <w:p>
      <w:pPr>
        <w:spacing w:after="0"/>
        <w:ind w:left="0"/>
        <w:jc w:val="both"/>
      </w:pPr>
      <w:r>
        <w:rPr>
          <w:rFonts w:ascii="Times New Roman"/>
          <w:b w:val="false"/>
          <w:i w:val="false"/>
          <w:color w:val="000000"/>
          <w:sz w:val="28"/>
        </w:rPr>
        <w:t>
      На должность работника структурного подразделения по ПОД/ФТ/ФРОМУ назначается лицо, имеющее:</w:t>
      </w:r>
    </w:p>
    <w:bookmarkEnd w:id="209"/>
    <w:bookmarkStart w:name="z251" w:id="210"/>
    <w:p>
      <w:pPr>
        <w:spacing w:after="0"/>
        <w:ind w:left="0"/>
        <w:jc w:val="both"/>
      </w:pPr>
      <w:r>
        <w:rPr>
          <w:rFonts w:ascii="Times New Roman"/>
          <w:b w:val="false"/>
          <w:i w:val="false"/>
          <w:color w:val="000000"/>
          <w:sz w:val="28"/>
        </w:rPr>
        <w:t>
      высшее образование;</w:t>
      </w:r>
    </w:p>
    <w:bookmarkEnd w:id="210"/>
    <w:bookmarkStart w:name="z252" w:id="211"/>
    <w:p>
      <w:pPr>
        <w:spacing w:after="0"/>
        <w:ind w:left="0"/>
        <w:jc w:val="both"/>
      </w:pPr>
      <w:r>
        <w:rPr>
          <w:rFonts w:ascii="Times New Roman"/>
          <w:b w:val="false"/>
          <w:i w:val="false"/>
          <w:color w:val="000000"/>
          <w:sz w:val="28"/>
        </w:rPr>
        <w:t>
      стаж работы не менее одного года в сфере игорного бизнеса;</w:t>
      </w:r>
    </w:p>
    <w:bookmarkEnd w:id="211"/>
    <w:bookmarkStart w:name="z253" w:id="212"/>
    <w:p>
      <w:pPr>
        <w:spacing w:after="0"/>
        <w:ind w:left="0"/>
        <w:jc w:val="both"/>
      </w:pPr>
      <w:r>
        <w:rPr>
          <w:rFonts w:ascii="Times New Roman"/>
          <w:b w:val="false"/>
          <w:i w:val="false"/>
          <w:color w:val="000000"/>
          <w:sz w:val="28"/>
        </w:rPr>
        <w:t>
      безупречную деловую репутацию;</w:t>
      </w:r>
    </w:p>
    <w:bookmarkEnd w:id="212"/>
    <w:bookmarkStart w:name="z254" w:id="213"/>
    <w:p>
      <w:pPr>
        <w:spacing w:after="0"/>
        <w:ind w:left="0"/>
        <w:jc w:val="both"/>
      </w:pPr>
      <w:r>
        <w:rPr>
          <w:rFonts w:ascii="Times New Roman"/>
          <w:b w:val="false"/>
          <w:i w:val="false"/>
          <w:color w:val="000000"/>
          <w:sz w:val="28"/>
        </w:rPr>
        <w:t>
      Сертификат о прохождении тестирования на знание законодательства о ПОД/ФТ/ФРОМУ.".</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14"/>
    <w:p>
      <w:pPr>
        <w:spacing w:after="0"/>
        <w:ind w:left="0"/>
        <w:jc w:val="left"/>
      </w:pPr>
      <w:r>
        <w:rPr>
          <w:rFonts w:ascii="Times New Roman"/>
          <w:b/>
          <w:i w:val="false"/>
          <w:color w:val="000000"/>
        </w:rPr>
        <w:t xml:space="preserve"> Перечень документов, подтверждающих соответствие организатора игорного бизнеса квалификационным требованиям</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букмекерской конторы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здания (части здания, строения, сооружения) на праве собственности (с предоставлением подтверждающих документов) соответствующего санитарно-эпидемиологическим нормам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за № 22004) и противопожарным нормам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по форме согласно приложению 2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оборудования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для организации и проведения пари на праве собственности по форме согласно приложению 3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договора (договоров) с юридическими лицами, получившими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(далее – Закон об охранной деятельности) по форме согласно приложению 4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работы букмекерской конторы, приема ставок и проводимых азартных игр и (или) пари на казахском и русском языках, разработанные в соответствии с </w:t>
            </w:r>
            <w:r>
              <w:rPr>
                <w:rFonts w:ascii="Times New Roman"/>
                <w:b w:val="false"/>
                <w:i w:val="false"/>
                <w:color w:val="000000"/>
                <w:sz w:val="20"/>
              </w:rPr>
              <w:t>пункта 2</w:t>
            </w:r>
            <w:r>
              <w:rPr>
                <w:rFonts w:ascii="Times New Roman"/>
                <w:b w:val="false"/>
                <w:i w:val="false"/>
                <w:color w:val="000000"/>
                <w:sz w:val="20"/>
              </w:rPr>
              <w:t xml:space="preserve"> статьи 15 Закона Республики Казахстан "Об игорном бизнесе" (далее – Закон об игорном бизнесе)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с банком второго уровня на территории Республики Казахстан на открытие банковского вклада в размере 40000 месячных расчетных показателей в соответствии с подпунктом 6) пункта 1 </w:t>
            </w:r>
            <w:r>
              <w:rPr>
                <w:rFonts w:ascii="Times New Roman"/>
                <w:b w:val="false"/>
                <w:i w:val="false"/>
                <w:color w:val="000000"/>
                <w:sz w:val="20"/>
              </w:rPr>
              <w:t>статьи 13</w:t>
            </w:r>
            <w:r>
              <w:rPr>
                <w:rFonts w:ascii="Times New Roman"/>
                <w:b w:val="false"/>
                <w:i w:val="false"/>
                <w:color w:val="000000"/>
                <w:sz w:val="20"/>
              </w:rPr>
              <w:t xml:space="preserve"> Закона об игорном бизнесе при условии выдачи вклада по первому требованию (вклад до востребования)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тотализатора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здания (части здания, строения, сооружения) на праве собственности (с предоставлением подтверждающих документов) соответствующего санитарно-эпидемиологическим нормам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за № 22004) и противопожарным нормам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по форме согласно приложению 2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оборудования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для организации и проведения пари на праве собственности по форме согласно приложению 3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договора (договоров) с юридическими лицами, получившими лицензию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об охранной деятельности по форме согласно приложению 4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работы тотализатора, приема ставок и проводимых азартных игр и (или) пари на казахском и русском языках, разработанные в соответствии с подпунктом 4) пункта 1 </w:t>
            </w:r>
            <w:r>
              <w:rPr>
                <w:rFonts w:ascii="Times New Roman"/>
                <w:b w:val="false"/>
                <w:i w:val="false"/>
                <w:color w:val="000000"/>
                <w:sz w:val="20"/>
              </w:rPr>
              <w:t>статьи 13</w:t>
            </w:r>
            <w:r>
              <w:rPr>
                <w:rFonts w:ascii="Times New Roman"/>
                <w:b w:val="false"/>
                <w:i w:val="false"/>
                <w:color w:val="000000"/>
                <w:sz w:val="20"/>
              </w:rPr>
              <w:t xml:space="preserve"> Закона об игорном бизнесе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с банком второго уровня на территории Республики Казахстан на открытие банковского вклада в размере 10 000 месячных расчетных показателей в соответствии с подпунктом 6) пункта 1 </w:t>
            </w:r>
            <w:r>
              <w:rPr>
                <w:rFonts w:ascii="Times New Roman"/>
                <w:b w:val="false"/>
                <w:i w:val="false"/>
                <w:color w:val="000000"/>
                <w:sz w:val="20"/>
              </w:rPr>
              <w:t>статьи 13</w:t>
            </w:r>
            <w:r>
              <w:rPr>
                <w:rFonts w:ascii="Times New Roman"/>
                <w:b w:val="false"/>
                <w:i w:val="false"/>
                <w:color w:val="000000"/>
                <w:sz w:val="20"/>
              </w:rPr>
              <w:t xml:space="preserve"> Закона об игорном бизнесе при условии выдачи вклада по первому требованию (вклада до востребования)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казино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(с предоставлением подтверждающего документа: свидетельство либо сертификат об аккредитации гостиничного комплекса категории не ниже трех звезд) соответствующего санитарно-эпидемиологическим нормам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за № 22004) и противопожарным нормам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по форме согласно приложению 2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оборудования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для организации и проведения пари на праве собственности по форме согласно приложению 3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 номинации применяемых легитимационных знаков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договора (договоров) с юридическими лицами, получившими лицензию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об охранной деятельности по форме согласно приложению 4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работы игорного заведения, приема ставок и проводимых азартных игр и (или) пари на казахском и русском языках, разработанные в соответствии с подпунктом 4) пункта 1 </w:t>
            </w:r>
            <w:r>
              <w:rPr>
                <w:rFonts w:ascii="Times New Roman"/>
                <w:b w:val="false"/>
                <w:i w:val="false"/>
                <w:color w:val="000000"/>
                <w:sz w:val="20"/>
              </w:rPr>
              <w:t>статьи 13</w:t>
            </w:r>
            <w:r>
              <w:rPr>
                <w:rFonts w:ascii="Times New Roman"/>
                <w:b w:val="false"/>
                <w:i w:val="false"/>
                <w:color w:val="000000"/>
                <w:sz w:val="20"/>
              </w:rPr>
              <w:t xml:space="preserve"> Закона об игорном бизнесе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с банком второго уровня на территории Республики Казахстан на открытие банковского вклада в размере 60 000 месячных расчетных показателей в соответствии с подпунктом 6) пункта 1 </w:t>
            </w:r>
            <w:r>
              <w:rPr>
                <w:rFonts w:ascii="Times New Roman"/>
                <w:b w:val="false"/>
                <w:i w:val="false"/>
                <w:color w:val="000000"/>
                <w:sz w:val="20"/>
              </w:rPr>
              <w:t>статьи 13</w:t>
            </w:r>
            <w:r>
              <w:rPr>
                <w:rFonts w:ascii="Times New Roman"/>
                <w:b w:val="false"/>
                <w:i w:val="false"/>
                <w:color w:val="000000"/>
                <w:sz w:val="20"/>
              </w:rPr>
              <w:t xml:space="preserve"> Закона об игорном бизнесе при условии выдачи вклада по первому требованию (вклада до востребования)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зала игровых автоматов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котором осуществляется деятельность казино (с предоставлением подтверждающего документа: свидетельство либо сертификат об аккредитации гостиничного комплекса категории не ниже трех звезд) соответствующего санитарно-эпидемиологическим нормам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за № 22004) и противопожарным нормам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по форме согласно приложению 2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оборудования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для организации и проведения пари на праве собственности по форме согласно приложению 3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 номинации, применяемых легитимационных знаков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договора (договоров) с юридическими лицами, получившими лицензию в соответствии с пунктом 1 </w:t>
            </w:r>
            <w:r>
              <w:rPr>
                <w:rFonts w:ascii="Times New Roman"/>
                <w:b w:val="false"/>
                <w:i w:val="false"/>
                <w:color w:val="000000"/>
                <w:sz w:val="20"/>
              </w:rPr>
              <w:t>статьи 5</w:t>
            </w:r>
            <w:r>
              <w:rPr>
                <w:rFonts w:ascii="Times New Roman"/>
                <w:b w:val="false"/>
                <w:i w:val="false"/>
                <w:color w:val="000000"/>
                <w:sz w:val="20"/>
              </w:rPr>
              <w:t xml:space="preserve"> Закона об охранной деятельности по форме согласно приложению 4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работы игорного заведения, приема ставок и проводимых азартных игр и (или) пари на казахском и русском языках, разработанные в соответствии с подпунктом 4) пункта 1 </w:t>
            </w:r>
            <w:r>
              <w:rPr>
                <w:rFonts w:ascii="Times New Roman"/>
                <w:b w:val="false"/>
                <w:i w:val="false"/>
                <w:color w:val="000000"/>
                <w:sz w:val="20"/>
              </w:rPr>
              <w:t>статьи 13</w:t>
            </w:r>
            <w:r>
              <w:rPr>
                <w:rFonts w:ascii="Times New Roman"/>
                <w:b w:val="false"/>
                <w:i w:val="false"/>
                <w:color w:val="000000"/>
                <w:sz w:val="20"/>
              </w:rPr>
              <w:t xml:space="preserve"> Закона об игорном бизнесе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с банком второго уровня на территории Республики Казахстан на открытие банковского вклада в размере 60 000 месячных расчетных показателей в соответствии с подпунктом 6) пункта 1 </w:t>
            </w:r>
            <w:r>
              <w:rPr>
                <w:rFonts w:ascii="Times New Roman"/>
                <w:b w:val="false"/>
                <w:i w:val="false"/>
                <w:color w:val="000000"/>
                <w:sz w:val="20"/>
              </w:rPr>
              <w:t>статьи 13</w:t>
            </w:r>
            <w:r>
              <w:rPr>
                <w:rFonts w:ascii="Times New Roman"/>
                <w:b w:val="false"/>
                <w:i w:val="false"/>
                <w:color w:val="000000"/>
                <w:sz w:val="20"/>
              </w:rPr>
              <w:t xml:space="preserve"> Закона об игорном бизнесе при условии выдачи вклада по первому требованию (вклада до востребования)</w:t>
            </w:r>
          </w:p>
        </w:tc>
      </w:tr>
    </w:tbl>
    <w:bookmarkStart w:name="z259" w:id="215"/>
    <w:p>
      <w:pPr>
        <w:spacing w:after="0"/>
        <w:ind w:left="0"/>
        <w:jc w:val="both"/>
      </w:pPr>
      <w:r>
        <w:rPr>
          <w:rFonts w:ascii="Times New Roman"/>
          <w:b w:val="false"/>
          <w:i w:val="false"/>
          <w:color w:val="000000"/>
          <w:sz w:val="28"/>
        </w:rPr>
        <w:t>
      Примечание:</w:t>
      </w:r>
    </w:p>
    <w:bookmarkEnd w:id="215"/>
    <w:bookmarkStart w:name="z260" w:id="216"/>
    <w:p>
      <w:pPr>
        <w:spacing w:after="0"/>
        <w:ind w:left="0"/>
        <w:jc w:val="both"/>
      </w:pPr>
      <w:r>
        <w:rPr>
          <w:rFonts w:ascii="Times New Roman"/>
          <w:b w:val="false"/>
          <w:i w:val="false"/>
          <w:color w:val="000000"/>
          <w:sz w:val="28"/>
        </w:rPr>
        <w:t>
      * Заявители получают сведения из цифровой системы единого государственного кадастра недвижимости (в виде справки о зарегистрированных правах (обременениях) на недвижимое имущество и его технических характеристиках);</w:t>
      </w:r>
    </w:p>
    <w:bookmarkEnd w:id="216"/>
    <w:bookmarkStart w:name="z261" w:id="217"/>
    <w:p>
      <w:pPr>
        <w:spacing w:after="0"/>
        <w:ind w:left="0"/>
        <w:jc w:val="both"/>
      </w:pPr>
      <w:r>
        <w:rPr>
          <w:rFonts w:ascii="Times New Roman"/>
          <w:b w:val="false"/>
          <w:i w:val="false"/>
          <w:color w:val="000000"/>
          <w:sz w:val="28"/>
        </w:rPr>
        <w:t>
      **Заявители получают сведения из цифровой системы "Е-лицензирование".</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5" w:id="218"/>
    <w:p>
      <w:pPr>
        <w:spacing w:after="0"/>
        <w:ind w:left="0"/>
        <w:jc w:val="both"/>
      </w:pPr>
      <w:r>
        <w:rPr>
          <w:rFonts w:ascii="Times New Roman"/>
          <w:b w:val="false"/>
          <w:i w:val="false"/>
          <w:color w:val="000000"/>
          <w:sz w:val="28"/>
        </w:rPr>
        <w:t>
      Представляется: в Комитет по регулированию игорного бизнеса и лотереи Министерства туризма и спорта Республики Казахстан</w:t>
      </w:r>
    </w:p>
    <w:bookmarkEnd w:id="218"/>
    <w:bookmarkStart w:name="z266" w:id="2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www.tsm.gov.kz</w:t>
      </w:r>
    </w:p>
    <w:bookmarkEnd w:id="219"/>
    <w:bookmarkStart w:name="z267" w:id="220"/>
    <w:p>
      <w:pPr>
        <w:spacing w:after="0"/>
        <w:ind w:left="0"/>
        <w:jc w:val="both"/>
      </w:pPr>
      <w:r>
        <w:rPr>
          <w:rFonts w:ascii="Times New Roman"/>
          <w:b w:val="false"/>
          <w:i w:val="false"/>
          <w:color w:val="000000"/>
          <w:sz w:val="28"/>
        </w:rPr>
        <w:t>
      Наименование административной формы: Отчетность организатора игорного бизнеса</w:t>
      </w:r>
    </w:p>
    <w:bookmarkEnd w:id="220"/>
    <w:bookmarkStart w:name="z268" w:id="22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1-(ОИБ)</w:t>
      </w:r>
    </w:p>
    <w:bookmarkEnd w:id="221"/>
    <w:bookmarkStart w:name="z269" w:id="222"/>
    <w:p>
      <w:pPr>
        <w:spacing w:after="0"/>
        <w:ind w:left="0"/>
        <w:jc w:val="both"/>
      </w:pPr>
      <w:r>
        <w:rPr>
          <w:rFonts w:ascii="Times New Roman"/>
          <w:b w:val="false"/>
          <w:i w:val="false"/>
          <w:color w:val="000000"/>
          <w:sz w:val="28"/>
        </w:rPr>
        <w:t>
      Периодичность: ежеквартально</w:t>
      </w:r>
    </w:p>
    <w:bookmarkEnd w:id="222"/>
    <w:bookmarkStart w:name="z270" w:id="223"/>
    <w:p>
      <w:pPr>
        <w:spacing w:after="0"/>
        <w:ind w:left="0"/>
        <w:jc w:val="both"/>
      </w:pPr>
      <w:r>
        <w:rPr>
          <w:rFonts w:ascii="Times New Roman"/>
          <w:b w:val="false"/>
          <w:i w:val="false"/>
          <w:color w:val="000000"/>
          <w:sz w:val="28"/>
        </w:rPr>
        <w:t>
      Отчетный период: ________ 20__года</w:t>
      </w:r>
    </w:p>
    <w:bookmarkEnd w:id="223"/>
    <w:p>
      <w:pPr>
        <w:spacing w:after="0"/>
        <w:ind w:left="0"/>
        <w:jc w:val="both"/>
      </w:pPr>
      <w:bookmarkStart w:name="z271" w:id="224"/>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организаторы игорного бизнеса</w:t>
      </w:r>
    </w:p>
    <w:bookmarkEnd w:id="224"/>
    <w:p>
      <w:pPr>
        <w:spacing w:after="0"/>
        <w:ind w:left="0"/>
        <w:jc w:val="both"/>
      </w:pPr>
      <w:r>
        <w:rPr>
          <w:rFonts w:ascii="Times New Roman"/>
          <w:b w:val="false"/>
          <w:i w:val="false"/>
          <w:color w:val="000000"/>
          <w:sz w:val="28"/>
        </w:rPr>
        <w:t>(юридические лица, осуществляющие организацию и проведение азартных игр и (или) пари)</w:t>
      </w:r>
    </w:p>
    <w:p>
      <w:pPr>
        <w:spacing w:after="0"/>
        <w:ind w:left="0"/>
        <w:jc w:val="both"/>
      </w:pPr>
      <w:bookmarkStart w:name="z272" w:id="225"/>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25"/>
    <w:p>
      <w:pPr>
        <w:spacing w:after="0"/>
        <w:ind w:left="0"/>
        <w:jc w:val="both"/>
      </w:pPr>
      <w:r>
        <w:rPr>
          <w:rFonts w:ascii="Times New Roman"/>
          <w:b w:val="false"/>
          <w:i w:val="false"/>
          <w:color w:val="000000"/>
          <w:sz w:val="28"/>
        </w:rPr>
        <w:t>один раз в квартал, не позднее 10 числа месяца, следующего за отчетным периодом.</w:t>
      </w:r>
    </w:p>
    <w:bookmarkStart w:name="z273" w:id="226"/>
    <w:p>
      <w:pPr>
        <w:spacing w:after="0"/>
        <w:ind w:left="0"/>
        <w:jc w:val="both"/>
      </w:pPr>
      <w:r>
        <w:rPr>
          <w:rFonts w:ascii="Times New Roman"/>
          <w:b w:val="false"/>
          <w:i w:val="false"/>
          <w:color w:val="000000"/>
          <w:sz w:val="28"/>
        </w:rPr>
        <w:t>
      Метод сбора: на бумажном носителе или в электронном виде (при наличии)</w:t>
      </w:r>
    </w:p>
    <w:bookmarkEnd w:id="226"/>
    <w:bookmarkStart w:name="z274" w:id="227"/>
    <w:p>
      <w:pPr>
        <w:spacing w:after="0"/>
        <w:ind w:left="0"/>
        <w:jc w:val="both"/>
      </w:pPr>
      <w:r>
        <w:rPr>
          <w:rFonts w:ascii="Times New Roman"/>
          <w:b w:val="false"/>
          <w:i w:val="false"/>
          <w:color w:val="000000"/>
          <w:sz w:val="28"/>
        </w:rPr>
        <w:t xml:space="preserve">
      Бизнес-идентификационный номер: </w:t>
      </w:r>
    </w:p>
    <w:bookmarkEnd w:id="227"/>
    <w:p>
      <w:pPr>
        <w:spacing w:after="0"/>
        <w:ind w:left="0"/>
        <w:jc w:val="both"/>
      </w:pPr>
      <w:r>
        <w:drawing>
          <wp:inline distT="0" distB="0" distL="0" distR="0">
            <wp:extent cx="508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организатора игорного бизнеса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организатора игорного бизнеса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деятельности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организатора игорного бизнеса,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азартных игр и (или) пари на начало отчетного периода,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азартных игр и (или) пари на конец отчетного периода,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отказов в установлении деловых отношений с участниками по основаниям </w:t>
            </w:r>
            <w:r>
              <w:rPr>
                <w:rFonts w:ascii="Times New Roman"/>
                <w:b w:val="false"/>
                <w:i w:val="false"/>
                <w:color w:val="000000"/>
                <w:sz w:val="20"/>
              </w:rPr>
              <w:t>Закона</w:t>
            </w:r>
            <w:r>
              <w:rPr>
                <w:rFonts w:ascii="Times New Roman"/>
                <w:b w:val="false"/>
                <w:i w:val="false"/>
                <w:color w:val="000000"/>
                <w:sz w:val="20"/>
              </w:rPr>
              <w:t xml:space="preserve"> о ПОД/ФТ/ФРОМУ*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 игорных заведений одними и теми же участниками азартных игр в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резиденты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посещений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посещений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посещений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28"/>
    <w:p>
      <w:pPr>
        <w:spacing w:after="0"/>
        <w:ind w:left="0"/>
        <w:jc w:val="both"/>
      </w:pPr>
      <w:r>
        <w:rPr>
          <w:rFonts w:ascii="Times New Roman"/>
          <w:b w:val="false"/>
          <w:i w:val="false"/>
          <w:color w:val="000000"/>
          <w:sz w:val="28"/>
        </w:rPr>
        <w:t>
      Продолжение таблицы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обязательных резервов, фактически размещенных в банке (-ах) по состоянию на день предоставления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p>
            <w:pPr>
              <w:spacing w:after="20"/>
              <w:ind w:left="20"/>
              <w:jc w:val="both"/>
            </w:pPr>
            <w:r>
              <w:rPr>
                <w:rFonts w:ascii="Times New Roman"/>
                <w:b w:val="false"/>
                <w:i w:val="false"/>
                <w:color w:val="000000"/>
                <w:sz w:val="20"/>
              </w:rPr>
              <w:t>выплаченных денежных средств участникам азартных игр и (или) пари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p>
            <w:pPr>
              <w:spacing w:after="20"/>
              <w:ind w:left="20"/>
              <w:jc w:val="both"/>
            </w:pPr>
            <w:r>
              <w:rPr>
                <w:rFonts w:ascii="Times New Roman"/>
                <w:b w:val="false"/>
                <w:i w:val="false"/>
                <w:color w:val="000000"/>
                <w:sz w:val="20"/>
              </w:rPr>
              <w:t>полученных денежных средств организатором игорного бизнеса от участников азартных игр и (или)пари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вид игорного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29"/>
    <w:p>
      <w:pPr>
        <w:spacing w:after="0"/>
        <w:ind w:left="0"/>
        <w:jc w:val="both"/>
      </w:pPr>
      <w:r>
        <w:rPr>
          <w:rFonts w:ascii="Times New Roman"/>
          <w:b w:val="false"/>
          <w:i w:val="false"/>
          <w:color w:val="000000"/>
          <w:sz w:val="28"/>
        </w:rPr>
        <w:t>
      продолжение таблицы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игорного оборудования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и (или) инвентарный номер игорного оборудования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игорного оборудования, игровых автоматов (новое/бывшее в употреблении)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 оборудования (для новых игровых автоматов)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процент выигрыша, технологически заложенный в игровой автомат (для зала игровых автоматов)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техническом состоянии видеозаписывающих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кассе (-ах), в том числе вид, количество и месторасположение кассы (адрес)</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постановке на регистрационный учет объектов налогообложения/ касс (-ы) в органах государственных доходов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количества столов, замены оборудования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бенефициарных собственниках в составе учредителей, руководителей организатора игорного бизнеса и о первых руководителях организатора игорного бизнеса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видеозаписывающей системы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 оборудования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или инвентарный номер заменившего оборудования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игровых столов, указанных при получении лицензии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увеличении и сокращении количества игровых столов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7" w:id="230"/>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о ПОД/ФТ/ФРОМУ - Закон Республики Казахстан "О противодействии легализации (отмыванию) доходов,</w:t>
      </w:r>
    </w:p>
    <w:bookmarkEnd w:id="230"/>
    <w:p>
      <w:pPr>
        <w:spacing w:after="0"/>
        <w:ind w:left="0"/>
        <w:jc w:val="both"/>
      </w:pPr>
      <w:r>
        <w:rPr>
          <w:rFonts w:ascii="Times New Roman"/>
          <w:b w:val="false"/>
          <w:i w:val="false"/>
          <w:color w:val="000000"/>
          <w:sz w:val="28"/>
        </w:rPr>
        <w:t>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bookmarkStart w:name="z278" w:id="231"/>
      <w:r>
        <w:rPr>
          <w:rFonts w:ascii="Times New Roman"/>
          <w:b w:val="false"/>
          <w:i w:val="false"/>
          <w:color w:val="000000"/>
          <w:sz w:val="28"/>
        </w:rPr>
        <w:t>
      **В целях подтверждения наличия обязательных резервов к отчетности прилагается справка о наличии и движении денег</w:t>
      </w:r>
    </w:p>
    <w:bookmarkEnd w:id="231"/>
    <w:p>
      <w:pPr>
        <w:spacing w:after="0"/>
        <w:ind w:left="0"/>
        <w:jc w:val="both"/>
      </w:pPr>
      <w:r>
        <w:rPr>
          <w:rFonts w:ascii="Times New Roman"/>
          <w:b w:val="false"/>
          <w:i w:val="false"/>
          <w:color w:val="000000"/>
          <w:sz w:val="28"/>
        </w:rPr>
        <w:t>по банковским счетам, открытым при заключении договора банковского вклада.</w:t>
      </w:r>
    </w:p>
    <w:p>
      <w:pPr>
        <w:spacing w:after="0"/>
        <w:ind w:left="0"/>
        <w:jc w:val="both"/>
      </w:pPr>
      <w:bookmarkStart w:name="z279" w:id="232"/>
      <w:r>
        <w:rPr>
          <w:rFonts w:ascii="Times New Roman"/>
          <w:b w:val="false"/>
          <w:i w:val="false"/>
          <w:color w:val="000000"/>
          <w:sz w:val="28"/>
        </w:rPr>
        <w:t>
      Наименование организации _______________________________________________</w:t>
      </w:r>
    </w:p>
    <w:bookmarkEnd w:id="232"/>
    <w:p>
      <w:pPr>
        <w:spacing w:after="0"/>
        <w:ind w:left="0"/>
        <w:jc w:val="both"/>
      </w:pPr>
      <w:r>
        <w:rPr>
          <w:rFonts w:ascii="Times New Roman"/>
          <w:b w:val="false"/>
          <w:i w:val="false"/>
          <w:color w:val="000000"/>
          <w:sz w:val="28"/>
        </w:rPr>
        <w:t>Наименование игорного заведения или товарного знака (при наличии) ___________</w:t>
      </w:r>
    </w:p>
    <w:p>
      <w:pPr>
        <w:spacing w:after="0"/>
        <w:ind w:left="0"/>
        <w:jc w:val="both"/>
      </w:pPr>
      <w:r>
        <w:rPr>
          <w:rFonts w:ascii="Times New Roman"/>
          <w:b w:val="false"/>
          <w:i w:val="false"/>
          <w:color w:val="000000"/>
          <w:sz w:val="28"/>
        </w:rPr>
        <w:t>Юридический адрес ______________________________________________________</w:t>
      </w:r>
    </w:p>
    <w:p>
      <w:pPr>
        <w:spacing w:after="0"/>
        <w:ind w:left="0"/>
        <w:jc w:val="both"/>
      </w:pPr>
      <w:r>
        <w:rPr>
          <w:rFonts w:ascii="Times New Roman"/>
          <w:b w:val="false"/>
          <w:i w:val="false"/>
          <w:color w:val="000000"/>
          <w:sz w:val="28"/>
        </w:rPr>
        <w:t>Вид деятельности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_________________________________________________</w:t>
      </w:r>
    </w:p>
    <w:p>
      <w:pPr>
        <w:spacing w:after="0"/>
        <w:ind w:left="0"/>
        <w:jc w:val="both"/>
      </w:pPr>
      <w:r>
        <w:rPr>
          <w:rFonts w:ascii="Times New Roman"/>
          <w:b w:val="false"/>
          <w:i w:val="false"/>
          <w:color w:val="000000"/>
          <w:sz w:val="28"/>
        </w:rPr>
        <w:t>Интернет-ресурс (при наличии) ____________________________________________</w:t>
      </w:r>
    </w:p>
    <w:p>
      <w:pPr>
        <w:spacing w:after="0"/>
        <w:ind w:left="0"/>
        <w:jc w:val="both"/>
      </w:pPr>
      <w:r>
        <w:rPr>
          <w:rFonts w:ascii="Times New Roman"/>
          <w:b w:val="false"/>
          <w:i w:val="false"/>
          <w:color w:val="000000"/>
          <w:sz w:val="28"/>
        </w:rPr>
        <w:t>Номер и дата выданной лицензии __________________________________________</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сведения, указанные в настоящей отчетности</w:t>
      </w:r>
    </w:p>
    <w:p>
      <w:pPr>
        <w:spacing w:after="0"/>
        <w:ind w:left="0"/>
        <w:jc w:val="both"/>
      </w:pPr>
      <w:r>
        <w:rPr>
          <w:rFonts w:ascii="Times New Roman"/>
          <w:b w:val="false"/>
          <w:i w:val="false"/>
          <w:color w:val="000000"/>
          <w:sz w:val="28"/>
        </w:rPr>
        <w:t>и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Исполнитель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Start w:name="z280" w:id="2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"Отчетность организатора игорного бизнеса"</w:t>
      </w:r>
      <w:r>
        <w:br/>
      </w:r>
      <w:r>
        <w:rPr>
          <w:rFonts w:ascii="Times New Roman"/>
          <w:b/>
          <w:i w:val="false"/>
          <w:color w:val="000000"/>
        </w:rPr>
        <w:t>Индекс: 1 - (ОИБ), периодичность: ежеквартальная</w:t>
      </w:r>
    </w:p>
    <w:bookmarkEnd w:id="233"/>
    <w:bookmarkStart w:name="z281" w:id="234"/>
    <w:p>
      <w:pPr>
        <w:spacing w:after="0"/>
        <w:ind w:left="0"/>
        <w:jc w:val="left"/>
      </w:pPr>
      <w:r>
        <w:rPr>
          <w:rFonts w:ascii="Times New Roman"/>
          <w:b/>
          <w:i w:val="false"/>
          <w:color w:val="000000"/>
        </w:rPr>
        <w:t xml:space="preserve"> Глава 1. Общие положения</w:t>
      </w:r>
    </w:p>
    <w:bookmarkEnd w:id="234"/>
    <w:bookmarkStart w:name="z282" w:id="2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представления отчетности организатора игорного бизнеса.</w:t>
      </w:r>
    </w:p>
    <w:bookmarkEnd w:id="235"/>
    <w:bookmarkStart w:name="z283" w:id="236"/>
    <w:p>
      <w:pPr>
        <w:spacing w:after="0"/>
        <w:ind w:left="0"/>
        <w:jc w:val="both"/>
      </w:pPr>
      <w:r>
        <w:rPr>
          <w:rFonts w:ascii="Times New Roman"/>
          <w:b w:val="false"/>
          <w:i w:val="false"/>
          <w:color w:val="000000"/>
          <w:sz w:val="28"/>
        </w:rPr>
        <w:t>
      2. Форма заполняется организаторами игорного бизнеса (юридическими лицами, осуществляющим организацию и проведение азартных игр и (или) пари), и представляется в уполномоченный орган в сфере игорного бизнеса.</w:t>
      </w:r>
    </w:p>
    <w:bookmarkEnd w:id="236"/>
    <w:bookmarkStart w:name="z284" w:id="237"/>
    <w:p>
      <w:pPr>
        <w:spacing w:after="0"/>
        <w:ind w:left="0"/>
        <w:jc w:val="both"/>
      </w:pPr>
      <w:r>
        <w:rPr>
          <w:rFonts w:ascii="Times New Roman"/>
          <w:b w:val="false"/>
          <w:i w:val="false"/>
          <w:color w:val="000000"/>
          <w:sz w:val="28"/>
        </w:rPr>
        <w:t>
      3. Форма заверяется подписью или электронной цифровой подписью руководителя организатора игорного бизнеса, либо лица его заменяющего (с приложением копии приказа о возложении обязанностей), а также печатью организации (при наличии).</w:t>
      </w:r>
    </w:p>
    <w:bookmarkEnd w:id="237"/>
    <w:bookmarkStart w:name="z285" w:id="238"/>
    <w:p>
      <w:pPr>
        <w:spacing w:after="0"/>
        <w:ind w:left="0"/>
        <w:jc w:val="both"/>
      </w:pPr>
      <w:r>
        <w:rPr>
          <w:rFonts w:ascii="Times New Roman"/>
          <w:b w:val="false"/>
          <w:i w:val="false"/>
          <w:color w:val="000000"/>
          <w:sz w:val="28"/>
        </w:rPr>
        <w:t>
      4. Форма предоставляется ежеквартально, не позднее 10 числа месяца, следующего за отчетным периодом.</w:t>
      </w:r>
    </w:p>
    <w:bookmarkEnd w:id="238"/>
    <w:bookmarkStart w:name="z286" w:id="239"/>
    <w:p>
      <w:pPr>
        <w:spacing w:after="0"/>
        <w:ind w:left="0"/>
        <w:jc w:val="left"/>
      </w:pPr>
      <w:r>
        <w:rPr>
          <w:rFonts w:ascii="Times New Roman"/>
          <w:b/>
          <w:i w:val="false"/>
          <w:color w:val="000000"/>
        </w:rPr>
        <w:t xml:space="preserve"> Глава 2. Пояснение по заполнению Формы</w:t>
      </w:r>
    </w:p>
    <w:bookmarkEnd w:id="239"/>
    <w:bookmarkStart w:name="z287" w:id="240"/>
    <w:p>
      <w:pPr>
        <w:spacing w:after="0"/>
        <w:ind w:left="0"/>
        <w:jc w:val="both"/>
      </w:pPr>
      <w:r>
        <w:rPr>
          <w:rFonts w:ascii="Times New Roman"/>
          <w:b w:val="false"/>
          <w:i w:val="false"/>
          <w:color w:val="000000"/>
          <w:sz w:val="28"/>
        </w:rPr>
        <w:t>
      5. В графе 1 заполняется номер по порядку.</w:t>
      </w:r>
    </w:p>
    <w:bookmarkEnd w:id="240"/>
    <w:bookmarkStart w:name="z288" w:id="241"/>
    <w:p>
      <w:pPr>
        <w:spacing w:after="0"/>
        <w:ind w:left="0"/>
        <w:jc w:val="both"/>
      </w:pPr>
      <w:r>
        <w:rPr>
          <w:rFonts w:ascii="Times New Roman"/>
          <w:b w:val="false"/>
          <w:i w:val="false"/>
          <w:color w:val="000000"/>
          <w:sz w:val="28"/>
        </w:rPr>
        <w:t>
      6. В графе 2 указывается бизнес идентификационный номер организатора игорного бизнеса.</w:t>
      </w:r>
    </w:p>
    <w:bookmarkEnd w:id="241"/>
    <w:bookmarkStart w:name="z289" w:id="242"/>
    <w:p>
      <w:pPr>
        <w:spacing w:after="0"/>
        <w:ind w:left="0"/>
        <w:jc w:val="both"/>
      </w:pPr>
      <w:r>
        <w:rPr>
          <w:rFonts w:ascii="Times New Roman"/>
          <w:b w:val="false"/>
          <w:i w:val="false"/>
          <w:color w:val="000000"/>
          <w:sz w:val="28"/>
        </w:rPr>
        <w:t>
      7. В графе 3 указывается наименование организатора игорного бизнеса.</w:t>
      </w:r>
    </w:p>
    <w:bookmarkEnd w:id="242"/>
    <w:bookmarkStart w:name="z290" w:id="243"/>
    <w:p>
      <w:pPr>
        <w:spacing w:after="0"/>
        <w:ind w:left="0"/>
        <w:jc w:val="both"/>
      </w:pPr>
      <w:r>
        <w:rPr>
          <w:rFonts w:ascii="Times New Roman"/>
          <w:b w:val="false"/>
          <w:i w:val="false"/>
          <w:color w:val="000000"/>
          <w:sz w:val="28"/>
        </w:rPr>
        <w:t>
      8. В графе 4 указывается вид деятельности.</w:t>
      </w:r>
    </w:p>
    <w:bookmarkEnd w:id="243"/>
    <w:bookmarkStart w:name="z291" w:id="244"/>
    <w:p>
      <w:pPr>
        <w:spacing w:after="0"/>
        <w:ind w:left="0"/>
        <w:jc w:val="both"/>
      </w:pPr>
      <w:r>
        <w:rPr>
          <w:rFonts w:ascii="Times New Roman"/>
          <w:b w:val="false"/>
          <w:i w:val="false"/>
          <w:color w:val="000000"/>
          <w:sz w:val="28"/>
        </w:rPr>
        <w:t>
      9. В графе 5 указывается юридический адрес.</w:t>
      </w:r>
    </w:p>
    <w:bookmarkEnd w:id="244"/>
    <w:bookmarkStart w:name="z292" w:id="245"/>
    <w:p>
      <w:pPr>
        <w:spacing w:after="0"/>
        <w:ind w:left="0"/>
        <w:jc w:val="both"/>
      </w:pPr>
      <w:r>
        <w:rPr>
          <w:rFonts w:ascii="Times New Roman"/>
          <w:b w:val="false"/>
          <w:i w:val="false"/>
          <w:color w:val="000000"/>
          <w:sz w:val="28"/>
        </w:rPr>
        <w:t>
      10. В графах 6, 7 указываются сведения о численности работников организатора игорного бизнеса на начало и на конец отчетного периода.</w:t>
      </w:r>
    </w:p>
    <w:bookmarkEnd w:id="245"/>
    <w:bookmarkStart w:name="z293" w:id="246"/>
    <w:p>
      <w:pPr>
        <w:spacing w:after="0"/>
        <w:ind w:left="0"/>
        <w:jc w:val="both"/>
      </w:pPr>
      <w:r>
        <w:rPr>
          <w:rFonts w:ascii="Times New Roman"/>
          <w:b w:val="false"/>
          <w:i w:val="false"/>
          <w:color w:val="000000"/>
          <w:sz w:val="28"/>
        </w:rPr>
        <w:t>
      11. В графах 8, 9 указываются сведения о количестве участников азартных игр и (или) пари (резиденты, нерезиденты) на начало отчетного периода.</w:t>
      </w:r>
    </w:p>
    <w:bookmarkEnd w:id="246"/>
    <w:bookmarkStart w:name="z294" w:id="247"/>
    <w:p>
      <w:pPr>
        <w:spacing w:after="0"/>
        <w:ind w:left="0"/>
        <w:jc w:val="both"/>
      </w:pPr>
      <w:r>
        <w:rPr>
          <w:rFonts w:ascii="Times New Roman"/>
          <w:b w:val="false"/>
          <w:i w:val="false"/>
          <w:color w:val="000000"/>
          <w:sz w:val="28"/>
        </w:rPr>
        <w:t>
      12. В графах 10, 11 указываются сведения о количестве участников азартных игр и (или) пари (резиденты, нерезиденты) на конец отчетного периода.</w:t>
      </w:r>
    </w:p>
    <w:bookmarkEnd w:id="247"/>
    <w:bookmarkStart w:name="z295" w:id="248"/>
    <w:p>
      <w:pPr>
        <w:spacing w:after="0"/>
        <w:ind w:left="0"/>
        <w:jc w:val="both"/>
      </w:pPr>
      <w:r>
        <w:rPr>
          <w:rFonts w:ascii="Times New Roman"/>
          <w:b w:val="false"/>
          <w:i w:val="false"/>
          <w:color w:val="000000"/>
          <w:sz w:val="28"/>
        </w:rPr>
        <w:t xml:space="preserve">
      13. В графе 12 указываются сведения о количестве отказов в установлении деловых отношений с участниками по основаниям, предусмотренным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48"/>
    <w:bookmarkStart w:name="z296" w:id="249"/>
    <w:p>
      <w:pPr>
        <w:spacing w:after="0"/>
        <w:ind w:left="0"/>
        <w:jc w:val="both"/>
      </w:pPr>
      <w:r>
        <w:rPr>
          <w:rFonts w:ascii="Times New Roman"/>
          <w:b w:val="false"/>
          <w:i w:val="false"/>
          <w:color w:val="000000"/>
          <w:sz w:val="28"/>
        </w:rPr>
        <w:t>
      14. В графах 13, 14, 15 указываются сведения о количестве посещений игорных заведений одними и теми же участниками азартных игр в отчетный период (менее 10 посещений, более 10 посещений, более 50 посещений).</w:t>
      </w:r>
    </w:p>
    <w:bookmarkEnd w:id="249"/>
    <w:bookmarkStart w:name="z297" w:id="250"/>
    <w:p>
      <w:pPr>
        <w:spacing w:after="0"/>
        <w:ind w:left="0"/>
        <w:jc w:val="both"/>
      </w:pPr>
      <w:r>
        <w:rPr>
          <w:rFonts w:ascii="Times New Roman"/>
          <w:b w:val="false"/>
          <w:i w:val="false"/>
          <w:color w:val="000000"/>
          <w:sz w:val="28"/>
        </w:rPr>
        <w:t>
      15. В графе 16 указываются сведения о сумме обеспечения на каждую лицензию в виде обязательных резервов, определяемых Законом Республики Казахстан "Об игорном бизнесе", фактически размещенных в банке (-ах) по состоянию на день предоставления отчетности.</w:t>
      </w:r>
    </w:p>
    <w:bookmarkEnd w:id="250"/>
    <w:bookmarkStart w:name="z298" w:id="251"/>
    <w:p>
      <w:pPr>
        <w:spacing w:after="0"/>
        <w:ind w:left="0"/>
        <w:jc w:val="both"/>
      </w:pPr>
      <w:r>
        <w:rPr>
          <w:rFonts w:ascii="Times New Roman"/>
          <w:b w:val="false"/>
          <w:i w:val="false"/>
          <w:color w:val="000000"/>
          <w:sz w:val="28"/>
        </w:rPr>
        <w:t>
      16. В графе 17 указываются сведения о сумме выплаченных денежных средств участникам азартных игр и (или) пари.</w:t>
      </w:r>
    </w:p>
    <w:bookmarkEnd w:id="251"/>
    <w:bookmarkStart w:name="z299" w:id="252"/>
    <w:p>
      <w:pPr>
        <w:spacing w:after="0"/>
        <w:ind w:left="0"/>
        <w:jc w:val="both"/>
      </w:pPr>
      <w:r>
        <w:rPr>
          <w:rFonts w:ascii="Times New Roman"/>
          <w:b w:val="false"/>
          <w:i w:val="false"/>
          <w:color w:val="000000"/>
          <w:sz w:val="28"/>
        </w:rPr>
        <w:t>
      17. В графе 18 указываются сведения об общей сумме полученных денежных средств организаторами игорного бизнеса от участников азартных игр и (или)пари.</w:t>
      </w:r>
    </w:p>
    <w:bookmarkEnd w:id="252"/>
    <w:bookmarkStart w:name="z300" w:id="253"/>
    <w:p>
      <w:pPr>
        <w:spacing w:after="0"/>
        <w:ind w:left="0"/>
        <w:jc w:val="both"/>
      </w:pPr>
      <w:r>
        <w:rPr>
          <w:rFonts w:ascii="Times New Roman"/>
          <w:b w:val="false"/>
          <w:i w:val="false"/>
          <w:color w:val="000000"/>
          <w:sz w:val="28"/>
        </w:rPr>
        <w:t>
      18. В графе 19 указываются наименование и вид игорного оборудования.</w:t>
      </w:r>
    </w:p>
    <w:bookmarkEnd w:id="253"/>
    <w:bookmarkStart w:name="z301" w:id="254"/>
    <w:p>
      <w:pPr>
        <w:spacing w:after="0"/>
        <w:ind w:left="0"/>
        <w:jc w:val="both"/>
      </w:pPr>
      <w:r>
        <w:rPr>
          <w:rFonts w:ascii="Times New Roman"/>
          <w:b w:val="false"/>
          <w:i w:val="false"/>
          <w:color w:val="000000"/>
          <w:sz w:val="28"/>
        </w:rPr>
        <w:t>
      19. В графе 20 указывается количество игорного оборудования.</w:t>
      </w:r>
    </w:p>
    <w:bookmarkEnd w:id="254"/>
    <w:bookmarkStart w:name="z302" w:id="255"/>
    <w:p>
      <w:pPr>
        <w:spacing w:after="0"/>
        <w:ind w:left="0"/>
        <w:jc w:val="both"/>
      </w:pPr>
      <w:r>
        <w:rPr>
          <w:rFonts w:ascii="Times New Roman"/>
          <w:b w:val="false"/>
          <w:i w:val="false"/>
          <w:color w:val="000000"/>
          <w:sz w:val="28"/>
        </w:rPr>
        <w:t>
      20. В графе 21 указывается серийный и (или) инвентарный номер игорного оборудования.</w:t>
      </w:r>
    </w:p>
    <w:bookmarkEnd w:id="255"/>
    <w:bookmarkStart w:name="z303" w:id="256"/>
    <w:p>
      <w:pPr>
        <w:spacing w:after="0"/>
        <w:ind w:left="0"/>
        <w:jc w:val="both"/>
      </w:pPr>
      <w:r>
        <w:rPr>
          <w:rFonts w:ascii="Times New Roman"/>
          <w:b w:val="false"/>
          <w:i w:val="false"/>
          <w:color w:val="000000"/>
          <w:sz w:val="28"/>
        </w:rPr>
        <w:t>
      21. В графе 22 указывается производитель игорного оборудования.</w:t>
      </w:r>
    </w:p>
    <w:bookmarkEnd w:id="256"/>
    <w:bookmarkStart w:name="z304" w:id="257"/>
    <w:p>
      <w:pPr>
        <w:spacing w:after="0"/>
        <w:ind w:left="0"/>
        <w:jc w:val="both"/>
      </w:pPr>
      <w:r>
        <w:rPr>
          <w:rFonts w:ascii="Times New Roman"/>
          <w:b w:val="false"/>
          <w:i w:val="false"/>
          <w:color w:val="000000"/>
          <w:sz w:val="28"/>
        </w:rPr>
        <w:t>
      22. В графе 23 указывается техническое состояние игорного оборудования, игровых автоматов (новое/бывшее в употреблении).</w:t>
      </w:r>
    </w:p>
    <w:bookmarkEnd w:id="257"/>
    <w:bookmarkStart w:name="z305" w:id="258"/>
    <w:p>
      <w:pPr>
        <w:spacing w:after="0"/>
        <w:ind w:left="0"/>
        <w:jc w:val="both"/>
      </w:pPr>
      <w:r>
        <w:rPr>
          <w:rFonts w:ascii="Times New Roman"/>
          <w:b w:val="false"/>
          <w:i w:val="false"/>
          <w:color w:val="000000"/>
          <w:sz w:val="28"/>
        </w:rPr>
        <w:t>
      23. В графе 24 указывается дата тестирования игорного оборудования (для новых игровых автоматов).</w:t>
      </w:r>
    </w:p>
    <w:bookmarkEnd w:id="258"/>
    <w:bookmarkStart w:name="z306" w:id="259"/>
    <w:p>
      <w:pPr>
        <w:spacing w:after="0"/>
        <w:ind w:left="0"/>
        <w:jc w:val="both"/>
      </w:pPr>
      <w:r>
        <w:rPr>
          <w:rFonts w:ascii="Times New Roman"/>
          <w:b w:val="false"/>
          <w:i w:val="false"/>
          <w:color w:val="000000"/>
          <w:sz w:val="28"/>
        </w:rPr>
        <w:t>
      24. В графе 25 указывается установленный процент выигрыша, технологически заложенный в игровой автомат (для зала игровых автоматов).</w:t>
      </w:r>
    </w:p>
    <w:bookmarkEnd w:id="259"/>
    <w:bookmarkStart w:name="z307" w:id="260"/>
    <w:p>
      <w:pPr>
        <w:spacing w:after="0"/>
        <w:ind w:left="0"/>
        <w:jc w:val="both"/>
      </w:pPr>
      <w:r>
        <w:rPr>
          <w:rFonts w:ascii="Times New Roman"/>
          <w:b w:val="false"/>
          <w:i w:val="false"/>
          <w:color w:val="000000"/>
          <w:sz w:val="28"/>
        </w:rPr>
        <w:t>
      25. В графе 26, 27, 28, 29 указываются сведения о техническом состоянии видеозаписывающих систем, в том числе наименование видеозаписывающей системы, количество, техническое состояние, дата тестирования оборудования.</w:t>
      </w:r>
    </w:p>
    <w:bookmarkEnd w:id="260"/>
    <w:bookmarkStart w:name="z308" w:id="261"/>
    <w:p>
      <w:pPr>
        <w:spacing w:after="0"/>
        <w:ind w:left="0"/>
        <w:jc w:val="both"/>
      </w:pPr>
      <w:r>
        <w:rPr>
          <w:rFonts w:ascii="Times New Roman"/>
          <w:b w:val="false"/>
          <w:i w:val="false"/>
          <w:color w:val="000000"/>
          <w:sz w:val="28"/>
        </w:rPr>
        <w:t>
      26. В графе 30 указываются данные о кассе (-ах), в том числе вид, количество, месторасположение кассы (адрес).</w:t>
      </w:r>
    </w:p>
    <w:bookmarkEnd w:id="261"/>
    <w:bookmarkStart w:name="z309" w:id="262"/>
    <w:p>
      <w:pPr>
        <w:spacing w:after="0"/>
        <w:ind w:left="0"/>
        <w:jc w:val="both"/>
      </w:pPr>
      <w:r>
        <w:rPr>
          <w:rFonts w:ascii="Times New Roman"/>
          <w:b w:val="false"/>
          <w:i w:val="false"/>
          <w:color w:val="000000"/>
          <w:sz w:val="28"/>
        </w:rPr>
        <w:t>
      27. В графе 31 указываются сведения о постановке на регистрационный учет объектов налогообложения/касс (-ы) в органах государственных доходов.</w:t>
      </w:r>
    </w:p>
    <w:bookmarkEnd w:id="262"/>
    <w:bookmarkStart w:name="z310" w:id="263"/>
    <w:p>
      <w:pPr>
        <w:spacing w:after="0"/>
        <w:ind w:left="0"/>
        <w:jc w:val="both"/>
      </w:pPr>
      <w:r>
        <w:rPr>
          <w:rFonts w:ascii="Times New Roman"/>
          <w:b w:val="false"/>
          <w:i w:val="false"/>
          <w:color w:val="000000"/>
          <w:sz w:val="28"/>
        </w:rPr>
        <w:t>
      28. В графах 32, 33, 34 указываются сведения об изменении количества столов, замены оборудования, в том числе серийный или инвентарный номер заменившего оборудования, количество игровых столов, указанных при получении лицензии, информация об увеличении и сокращении количества игровых столов.</w:t>
      </w:r>
    </w:p>
    <w:bookmarkEnd w:id="263"/>
    <w:bookmarkStart w:name="z311" w:id="264"/>
    <w:p>
      <w:pPr>
        <w:spacing w:after="0"/>
        <w:ind w:left="0"/>
        <w:jc w:val="both"/>
      </w:pPr>
      <w:r>
        <w:rPr>
          <w:rFonts w:ascii="Times New Roman"/>
          <w:b w:val="false"/>
          <w:i w:val="false"/>
          <w:color w:val="000000"/>
          <w:sz w:val="28"/>
        </w:rPr>
        <w:t>
      29. В графе 35 указываются сведения о бенефициарных собственниках в составе учредителей, руководителей организатора игорного бизнеса и о первых руководителях организатора игорного бизнеса.</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казино"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казино".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игорного бизнеса и лотереи Министерства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
1) выдача лицензии – 10 (десять) рабочих дней;</w:t>
            </w:r>
          </w:p>
          <w:p>
            <w:pPr>
              <w:spacing w:after="20"/>
              <w:ind w:left="20"/>
              <w:jc w:val="both"/>
            </w:pPr>
            <w:r>
              <w:rPr>
                <w:rFonts w:ascii="Times New Roman"/>
                <w:b w:val="false"/>
                <w:i w:val="false"/>
                <w:color w:val="000000"/>
                <w:sz w:val="20"/>
              </w:rPr>
              <w:t>
2) переоформление лицензии – 3 (три) рабочих дня. При неполноте документов и (или) документов с истекшим сроком действия письменный мотивированный отказ услугодателя в приеме заявления – 2 (два) рабочих дня.</w:t>
            </w:r>
          </w:p>
          <w:p>
            <w:pPr>
              <w:spacing w:after="20"/>
              <w:ind w:left="20"/>
              <w:jc w:val="both"/>
            </w:pPr>
            <w:r>
              <w:rPr>
                <w:rFonts w:ascii="Times New Roman"/>
                <w:b w:val="false"/>
                <w:i w:val="false"/>
                <w:color w:val="000000"/>
                <w:sz w:val="20"/>
              </w:rPr>
              <w:t>
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право занятия деятельностью казино,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Ставки ежегодного лицензионного сбора за право занятия деятельностью казино в соответствии с пунктом 4 статьи 616 Налогового кодекса Республики Казахстан составляют:</w:t>
            </w:r>
          </w:p>
          <w:p>
            <w:pPr>
              <w:spacing w:after="20"/>
              <w:ind w:left="20"/>
              <w:jc w:val="both"/>
            </w:pPr>
            <w:r>
              <w:rPr>
                <w:rFonts w:ascii="Times New Roman"/>
                <w:b w:val="false"/>
                <w:i w:val="false"/>
                <w:color w:val="000000"/>
                <w:sz w:val="20"/>
              </w:rPr>
              <w:t>
сбор при выдаче лицензии составляет 3845 месячных расчетных показателей (далее – МРП);</w:t>
            </w:r>
          </w:p>
          <w:p>
            <w:pPr>
              <w:spacing w:after="20"/>
              <w:ind w:left="20"/>
              <w:jc w:val="both"/>
            </w:pPr>
            <w:r>
              <w:rPr>
                <w:rFonts w:ascii="Times New Roman"/>
                <w:b w:val="false"/>
                <w:i w:val="false"/>
                <w:color w:val="000000"/>
                <w:sz w:val="20"/>
              </w:rPr>
              <w:t>
сбор за переоформление лицензии составляет 10 % от ставки при выдаче лицензии.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осуществляется с 9.00 до 17.00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приложению 2 к настоящим Правилам.</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услугодатель получает из соответствующих цифровых систем через шлюз "цифрового правительства";</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ПШЦП) в форме электронного документа;</w:t>
            </w:r>
          </w:p>
          <w:p>
            <w:pPr>
              <w:spacing w:after="20"/>
              <w:ind w:left="20"/>
              <w:jc w:val="both"/>
            </w:pPr>
            <w:r>
              <w:rPr>
                <w:rFonts w:ascii="Times New Roman"/>
                <w:b w:val="false"/>
                <w:i w:val="false"/>
                <w:color w:val="000000"/>
                <w:sz w:val="20"/>
              </w:rPr>
              <w:t xml:space="preserve">
3)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случае отсутствия данных в цифровой системе www.elicense.kz предоставить подтверждающие документы: свидетельство либо сертификат об аккредитации гостиничного комплекса категории не ниже трех звезд), соответствующего санитарно-эпидемиологическим и противопожарным нормам, установленным законодательством Республики Казахстан, по форме согласно приложению 3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за № 22004)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w:t>
            </w:r>
          </w:p>
          <w:p>
            <w:pPr>
              <w:spacing w:after="20"/>
              <w:ind w:left="20"/>
              <w:jc w:val="both"/>
            </w:pPr>
            <w:r>
              <w:rPr>
                <w:rFonts w:ascii="Times New Roman"/>
                <w:b w:val="false"/>
                <w:i w:val="false"/>
                <w:color w:val="000000"/>
                <w:sz w:val="20"/>
              </w:rPr>
              <w:t>
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приложению 4 к настоящим Правилам;</w:t>
            </w:r>
          </w:p>
          <w:p>
            <w:pPr>
              <w:spacing w:after="20"/>
              <w:ind w:left="20"/>
              <w:jc w:val="both"/>
            </w:pPr>
            <w:r>
              <w:rPr>
                <w:rFonts w:ascii="Times New Roman"/>
                <w:b w:val="false"/>
                <w:i w:val="false"/>
                <w:color w:val="000000"/>
                <w:sz w:val="20"/>
              </w:rPr>
              <w:t xml:space="preserve">
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приложению 5 к настоящим Правилам;</w:t>
            </w:r>
          </w:p>
          <w:p>
            <w:pPr>
              <w:spacing w:after="20"/>
              <w:ind w:left="20"/>
              <w:jc w:val="both"/>
            </w:pPr>
            <w:r>
              <w:rPr>
                <w:rFonts w:ascii="Times New Roman"/>
                <w:b w:val="false"/>
                <w:i w:val="false"/>
                <w:color w:val="000000"/>
                <w:sz w:val="20"/>
              </w:rPr>
              <w:t>
6) наличие образцов и номинаций, применяемых легитимационных знаков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xml:space="preserve">
7) правила работы игорного заведения в соответствии с Типовыми правилами работы игорного заведения,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8) договор с банком второго уровня на территории Республики Казахстан на открытие вклада в размере 60000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w:t>
            </w:r>
          </w:p>
          <w:p>
            <w:pPr>
              <w:spacing w:after="20"/>
              <w:ind w:left="20"/>
              <w:jc w:val="both"/>
            </w:pPr>
            <w:r>
              <w:rPr>
                <w:rFonts w:ascii="Times New Roman"/>
                <w:b w:val="false"/>
                <w:i w:val="false"/>
                <w:color w:val="000000"/>
                <w:sz w:val="20"/>
              </w:rPr>
              <w:t>
для переоформления лицензии:</w:t>
            </w:r>
          </w:p>
          <w:p>
            <w:pPr>
              <w:spacing w:after="20"/>
              <w:ind w:left="20"/>
              <w:jc w:val="both"/>
            </w:pPr>
            <w:r>
              <w:rPr>
                <w:rFonts w:ascii="Times New Roman"/>
                <w:b w:val="false"/>
                <w:i w:val="false"/>
                <w:color w:val="000000"/>
                <w:sz w:val="20"/>
              </w:rPr>
              <w:t>
1) заявление юридического лица на переоформление лицензии в форме электронного запроса,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ПШЦП) в форме электронного документа;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ПШЦП), о лицензии услугодатель получает из соответствующих государственных цифровых систем через шлюз "цифрового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деятельностью в сфере игорного бизнеса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xml:space="preserve">
3) услугополучатель государственной услуги не соответствует квалификационным требованиям, установленным </w:t>
            </w:r>
            <w:r>
              <w:rPr>
                <w:rFonts w:ascii="Times New Roman"/>
                <w:b w:val="false"/>
                <w:i w:val="false"/>
                <w:color w:val="000000"/>
                <w:sz w:val="20"/>
              </w:rPr>
              <w:t>статьей 13</w:t>
            </w:r>
            <w:r>
              <w:rPr>
                <w:rFonts w:ascii="Times New Roman"/>
                <w:b w:val="false"/>
                <w:i w:val="false"/>
                <w:color w:val="000000"/>
                <w:sz w:val="20"/>
              </w:rPr>
              <w:t xml:space="preserve"> Закона Республики Казахстан "Об игорном бизнесе";</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в сфере игорного бизнеса;</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Информацию о порядке оказания государственной услуги можно получить по телефону услугодателя: 8 (7172) 741359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казино"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265"/>
    <w:p>
      <w:pPr>
        <w:spacing w:after="0"/>
        <w:ind w:left="0"/>
        <w:jc w:val="left"/>
      </w:pPr>
      <w:r>
        <w:rPr>
          <w:rFonts w:ascii="Times New Roman"/>
          <w:b/>
          <w:i w:val="false"/>
          <w:color w:val="000000"/>
        </w:rPr>
        <w:t xml:space="preserve"> Заявление юридического лица на получение лицензии</w:t>
      </w:r>
    </w:p>
    <w:bookmarkEnd w:id="265"/>
    <w:p>
      <w:pPr>
        <w:spacing w:after="0"/>
        <w:ind w:left="0"/>
        <w:jc w:val="both"/>
      </w:pPr>
      <w:bookmarkStart w:name="z347" w:id="266"/>
      <w:r>
        <w:rPr>
          <w:rFonts w:ascii="Times New Roman"/>
          <w:b w:val="false"/>
          <w:i w:val="false"/>
          <w:color w:val="000000"/>
          <w:sz w:val="28"/>
        </w:rPr>
        <w:t>
      В ______________________________________________________________</w:t>
      </w:r>
    </w:p>
    <w:bookmarkEnd w:id="266"/>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Адрес юридического лица 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bookmarkStart w:name="z348" w:id="267"/>
    <w:p>
      <w:pPr>
        <w:spacing w:after="0"/>
        <w:ind w:left="0"/>
        <w:jc w:val="both"/>
      </w:pPr>
      <w:r>
        <w:rPr>
          <w:rFonts w:ascii="Times New Roman"/>
          <w:b w:val="false"/>
          <w:i w:val="false"/>
          <w:color w:val="000000"/>
          <w:sz w:val="28"/>
        </w:rPr>
        <w:t>
      Сведения о руководителе, учредителях, участниках и бенефициарных собственниках юридического лица: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(наименование документа, номер, серия (при наличии) и дата выдачи, кем выдан)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неснятой или непогашенной судимости</w:t>
            </w:r>
          </w:p>
          <w:p>
            <w:pPr>
              <w:spacing w:after="20"/>
              <w:ind w:left="20"/>
              <w:jc w:val="both"/>
            </w:pPr>
            <w:r>
              <w:rPr>
                <w:rFonts w:ascii="Times New Roman"/>
                <w:b w:val="false"/>
                <w:i w:val="false"/>
                <w:color w:val="000000"/>
                <w:sz w:val="20"/>
              </w:rPr>
              <w:t xml:space="preserve">(Да/нет (если да, то указываются реквизиты приговора суда, статья </w:t>
            </w:r>
            <w:r>
              <w:rPr>
                <w:rFonts w:ascii="Times New Roman"/>
                <w:b w:val="false"/>
                <w:i w:val="false"/>
                <w:color w:val="000000"/>
                <w:sz w:val="20"/>
              </w:rPr>
              <w:t>Уголовного</w:t>
            </w:r>
            <w:r>
              <w:rPr>
                <w:rFonts w:ascii="Times New Roman"/>
                <w:b w:val="false"/>
                <w:i w:val="false"/>
                <w:color w:val="000000"/>
                <w:sz w:val="20"/>
              </w:rPr>
              <w:t xml:space="preserve"> кодекса Республики Казахстан, если нет прилагается справка о наличии или отсутствии судимости))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Бенефициарные собственники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268"/>
      <w:r>
        <w:rPr>
          <w:rFonts w:ascii="Times New Roman"/>
          <w:b w:val="false"/>
          <w:i w:val="false"/>
          <w:color w:val="000000"/>
          <w:sz w:val="28"/>
        </w:rPr>
        <w:t>
      Прилагается ______ листов.</w:t>
      </w:r>
    </w:p>
    <w:bookmarkEnd w:id="268"/>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Руководитель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зала</w:t>
            </w:r>
            <w:r>
              <w:br/>
            </w:r>
            <w:r>
              <w:rPr>
                <w:rFonts w:ascii="Times New Roman"/>
                <w:b w:val="false"/>
                <w:i w:val="false"/>
                <w:color w:val="000000"/>
                <w:sz w:val="20"/>
              </w:rPr>
              <w:t>игровых автоматов"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зала игровых автоматов"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игорного бизнеса и лотереи Министерства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
1) выдача лицензии – 10 (десять) рабочих дней;</w:t>
            </w:r>
          </w:p>
          <w:p>
            <w:pPr>
              <w:spacing w:after="20"/>
              <w:ind w:left="20"/>
              <w:jc w:val="both"/>
            </w:pPr>
            <w:r>
              <w:rPr>
                <w:rFonts w:ascii="Times New Roman"/>
                <w:b w:val="false"/>
                <w:i w:val="false"/>
                <w:color w:val="000000"/>
                <w:sz w:val="20"/>
              </w:rPr>
              <w:t>
2) переоформление лицензии – 3 (три) рабочих дня.</w:t>
            </w:r>
          </w:p>
          <w:p>
            <w:pPr>
              <w:spacing w:after="20"/>
              <w:ind w:left="20"/>
              <w:jc w:val="both"/>
            </w:pPr>
            <w:r>
              <w:rPr>
                <w:rFonts w:ascii="Times New Roman"/>
                <w:b w:val="false"/>
                <w:i w:val="false"/>
                <w:color w:val="000000"/>
                <w:sz w:val="20"/>
              </w:rPr>
              <w:t>
При неполноте документов и (или) документов с истекшим сроком действия письменный мотивированный отказ услугодателя в приеме заявления – 2 (два) рабочих дня. 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право занятия деятельностью зала игровых автоматов,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Ставки ежегодного лицензионного сбора за право занятия деятельностью зала игровых автоматов в соответствии с пунктом 4 статьи 616 Налогового кодекса Республики Казахстан составляют:</w:t>
            </w:r>
          </w:p>
          <w:p>
            <w:pPr>
              <w:spacing w:after="20"/>
              <w:ind w:left="20"/>
              <w:jc w:val="both"/>
            </w:pPr>
            <w:r>
              <w:rPr>
                <w:rFonts w:ascii="Times New Roman"/>
                <w:b w:val="false"/>
                <w:i w:val="false"/>
                <w:color w:val="000000"/>
                <w:sz w:val="20"/>
              </w:rPr>
              <w:t>
сбор при выдаче лицензии составляет 3845 месячных расчетных показателей (далее – МРП);</w:t>
            </w:r>
          </w:p>
          <w:p>
            <w:pPr>
              <w:spacing w:after="20"/>
              <w:ind w:left="20"/>
              <w:jc w:val="both"/>
            </w:pPr>
            <w:r>
              <w:rPr>
                <w:rFonts w:ascii="Times New Roman"/>
                <w:b w:val="false"/>
                <w:i w:val="false"/>
                <w:color w:val="000000"/>
                <w:sz w:val="20"/>
              </w:rPr>
              <w:t>
сбор за переоформление лицензии составляет 10 % от ставки при выдаче лицензии.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"цифрового правительства"</w:t>
            </w:r>
          </w:p>
          <w:p>
            <w:pPr>
              <w:spacing w:after="20"/>
              <w:ind w:left="20"/>
              <w:jc w:val="both"/>
            </w:pPr>
            <w:r>
              <w:rPr>
                <w:rFonts w:ascii="Times New Roman"/>
                <w:b w:val="false"/>
                <w:i w:val="false"/>
                <w:color w:val="000000"/>
                <w:sz w:val="20"/>
              </w:rPr>
              <w:t>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осуществляется с 9.00 до 17.00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приложению 2 к настоящим Правилам.</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услугодатель получает из соответствующих цифровых систем через шлюз "цифрового правительства";</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ПШЦП) в форме электронного документа;</w:t>
            </w:r>
          </w:p>
          <w:p>
            <w:pPr>
              <w:spacing w:after="20"/>
              <w:ind w:left="20"/>
              <w:jc w:val="both"/>
            </w:pPr>
            <w:r>
              <w:rPr>
                <w:rFonts w:ascii="Times New Roman"/>
                <w:b w:val="false"/>
                <w:i w:val="false"/>
                <w:color w:val="000000"/>
                <w:sz w:val="20"/>
              </w:rPr>
              <w:t xml:space="preserve">
3) сведения о наличии здания (части здания, строения, сооружения) на праве собственности или ином законном основании в гостиничном комплексе категории не ниже трех звезд в котором осуществляется деятельность казино (в случае отсутствия данных в цифровой системе www.elicense.kz предоставить подтверждающие документы: свидетельство либо сертификат об аккредитации гостиничного комплекса категории не ниже трех звезд), соответствующего санитарно-эпидемиологическим и противопожарным нормам, установленным законодательством Республики Казахстан, по форме согласно приложению 3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за № 22004)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w:t>
            </w:r>
          </w:p>
          <w:p>
            <w:pPr>
              <w:spacing w:after="20"/>
              <w:ind w:left="20"/>
              <w:jc w:val="both"/>
            </w:pPr>
            <w:r>
              <w:rPr>
                <w:rFonts w:ascii="Times New Roman"/>
                <w:b w:val="false"/>
                <w:i w:val="false"/>
                <w:color w:val="000000"/>
                <w:sz w:val="20"/>
              </w:rPr>
              <w:t>
4) сведения о наличии игорного оборудования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приложению 4 к настоящим Правилам;</w:t>
            </w:r>
          </w:p>
          <w:p>
            <w:pPr>
              <w:spacing w:after="20"/>
              <w:ind w:left="20"/>
              <w:jc w:val="both"/>
            </w:pPr>
            <w:r>
              <w:rPr>
                <w:rFonts w:ascii="Times New Roman"/>
                <w:b w:val="false"/>
                <w:i w:val="false"/>
                <w:color w:val="000000"/>
                <w:sz w:val="20"/>
              </w:rPr>
              <w:t xml:space="preserve">
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приложению 5 к настоящим Правилам;</w:t>
            </w:r>
          </w:p>
          <w:p>
            <w:pPr>
              <w:spacing w:after="20"/>
              <w:ind w:left="20"/>
              <w:jc w:val="both"/>
            </w:pPr>
            <w:r>
              <w:rPr>
                <w:rFonts w:ascii="Times New Roman"/>
                <w:b w:val="false"/>
                <w:i w:val="false"/>
                <w:color w:val="000000"/>
                <w:sz w:val="20"/>
              </w:rPr>
              <w:t>
6) наличие образцов и номинаций, применяемых легитимационных знаков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xml:space="preserve">
7) правила работы игорного заведения в соответствии с Типовыми правилами работы игорного заведения,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8) договор с банком второго уровня на территории Республики Казахстан на открытие вклада в размере 60000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w:t>
            </w:r>
          </w:p>
          <w:p>
            <w:pPr>
              <w:spacing w:after="20"/>
              <w:ind w:left="20"/>
              <w:jc w:val="both"/>
            </w:pPr>
            <w:r>
              <w:rPr>
                <w:rFonts w:ascii="Times New Roman"/>
                <w:b w:val="false"/>
                <w:i w:val="false"/>
                <w:color w:val="000000"/>
                <w:sz w:val="20"/>
              </w:rPr>
              <w:t>
для переоформления лицензии:</w:t>
            </w:r>
          </w:p>
          <w:p>
            <w:pPr>
              <w:spacing w:after="20"/>
              <w:ind w:left="20"/>
              <w:jc w:val="both"/>
            </w:pPr>
            <w:r>
              <w:rPr>
                <w:rFonts w:ascii="Times New Roman"/>
                <w:b w:val="false"/>
                <w:i w:val="false"/>
                <w:color w:val="000000"/>
                <w:sz w:val="20"/>
              </w:rPr>
              <w:t>
1) заявление юридического лица на переоформление лицензии в форме электронного запроса,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ПШЦП) в форме электронного документа;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ПШЦП), о лицензии услугодатель получает из соответствующих государственных цифровых систем через шлюз "цифрового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деятельностью в сфере игорного бизнеса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xml:space="preserve">
2) не внесен лицензионный сбор; 3) услугополучатель государственной услуги не соответствует квалификационным требованиям, установленным </w:t>
            </w:r>
            <w:r>
              <w:rPr>
                <w:rFonts w:ascii="Times New Roman"/>
                <w:b w:val="false"/>
                <w:i w:val="false"/>
                <w:color w:val="000000"/>
                <w:sz w:val="20"/>
              </w:rPr>
              <w:t>статьей 13</w:t>
            </w:r>
            <w:r>
              <w:rPr>
                <w:rFonts w:ascii="Times New Roman"/>
                <w:b w:val="false"/>
                <w:i w:val="false"/>
                <w:color w:val="000000"/>
                <w:sz w:val="20"/>
              </w:rPr>
              <w:t xml:space="preserve"> Закона Республики Казахстан "Об игорном бизнесе";</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в сфере игорного бизнеса;</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услугодателя: 8 (7172) 741359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зала</w:t>
            </w:r>
            <w:r>
              <w:br/>
            </w:r>
            <w:r>
              <w:rPr>
                <w:rFonts w:ascii="Times New Roman"/>
                <w:b w:val="false"/>
                <w:i w:val="false"/>
                <w:color w:val="000000"/>
                <w:sz w:val="20"/>
              </w:rPr>
              <w:t>игровых автоматов"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269"/>
    <w:p>
      <w:pPr>
        <w:spacing w:after="0"/>
        <w:ind w:left="0"/>
        <w:jc w:val="left"/>
      </w:pPr>
      <w:r>
        <w:rPr>
          <w:rFonts w:ascii="Times New Roman"/>
          <w:b/>
          <w:i w:val="false"/>
          <w:color w:val="000000"/>
        </w:rPr>
        <w:t xml:space="preserve"> Заявление юридического лица на получение лицензии</w:t>
      </w:r>
    </w:p>
    <w:bookmarkEnd w:id="269"/>
    <w:p>
      <w:pPr>
        <w:spacing w:after="0"/>
        <w:ind w:left="0"/>
        <w:jc w:val="both"/>
      </w:pPr>
      <w:bookmarkStart w:name="z386" w:id="270"/>
      <w:r>
        <w:rPr>
          <w:rFonts w:ascii="Times New Roman"/>
          <w:b w:val="false"/>
          <w:i w:val="false"/>
          <w:color w:val="000000"/>
          <w:sz w:val="28"/>
        </w:rPr>
        <w:t>
      В ______________________________________________________________</w:t>
      </w:r>
    </w:p>
    <w:bookmarkEnd w:id="27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w:t>
      </w:r>
    </w:p>
    <w:p>
      <w:pPr>
        <w:spacing w:after="0"/>
        <w:ind w:left="0"/>
        <w:jc w:val="both"/>
      </w:pPr>
      <w:r>
        <w:rPr>
          <w:rFonts w:ascii="Times New Roman"/>
          <w:b w:val="false"/>
          <w:i w:val="false"/>
          <w:color w:val="000000"/>
          <w:sz w:val="28"/>
        </w:rPr>
        <w:t>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bookmarkStart w:name="z387" w:id="271"/>
    <w:p>
      <w:pPr>
        <w:spacing w:after="0"/>
        <w:ind w:left="0"/>
        <w:jc w:val="both"/>
      </w:pPr>
      <w:r>
        <w:rPr>
          <w:rFonts w:ascii="Times New Roman"/>
          <w:b w:val="false"/>
          <w:i w:val="false"/>
          <w:color w:val="000000"/>
          <w:sz w:val="28"/>
        </w:rPr>
        <w:t>
      Сведения о руководителе, учредителях, участниках и бенефициарных собственниках юридического лица: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(наименование документа, номер, серия (при наличии) и дата выдачи, кем выдан)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неснятой или непогашенной судимости</w:t>
            </w:r>
          </w:p>
          <w:p>
            <w:pPr>
              <w:spacing w:after="20"/>
              <w:ind w:left="20"/>
              <w:jc w:val="both"/>
            </w:pPr>
            <w:r>
              <w:rPr>
                <w:rFonts w:ascii="Times New Roman"/>
                <w:b w:val="false"/>
                <w:i w:val="false"/>
                <w:color w:val="000000"/>
                <w:sz w:val="20"/>
              </w:rPr>
              <w:t xml:space="preserve">(Да/нет (если да, то указываются реквизиты приговора суда, статья </w:t>
            </w:r>
            <w:r>
              <w:rPr>
                <w:rFonts w:ascii="Times New Roman"/>
                <w:b w:val="false"/>
                <w:i w:val="false"/>
                <w:color w:val="000000"/>
                <w:sz w:val="20"/>
              </w:rPr>
              <w:t>Уголовного</w:t>
            </w:r>
            <w:r>
              <w:rPr>
                <w:rFonts w:ascii="Times New Roman"/>
                <w:b w:val="false"/>
                <w:i w:val="false"/>
                <w:color w:val="000000"/>
                <w:sz w:val="20"/>
              </w:rPr>
              <w:t xml:space="preserve"> кодекса Республики Казахстан, если нет прилагается справка о наличии или отсутствии судимости))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Бенефициарные собственники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8" w:id="272"/>
      <w:r>
        <w:rPr>
          <w:rFonts w:ascii="Times New Roman"/>
          <w:b w:val="false"/>
          <w:i w:val="false"/>
          <w:color w:val="000000"/>
          <w:sz w:val="28"/>
        </w:rPr>
        <w:t>
      Прилагается ______ листов.</w:t>
      </w:r>
    </w:p>
    <w:bookmarkEnd w:id="272"/>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Руководитель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w:t>
            </w:r>
            <w:r>
              <w:br/>
            </w:r>
            <w:r>
              <w:rPr>
                <w:rFonts w:ascii="Times New Roman"/>
                <w:b w:val="false"/>
                <w:i w:val="false"/>
                <w:color w:val="000000"/>
                <w:sz w:val="20"/>
              </w:rPr>
              <w:t>букмекерской конторы"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букмекерской конторы".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игорного бизнеса и лотереи Министерства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
1) выдача лицензии – 10 (десять) рабочих дней;</w:t>
            </w:r>
          </w:p>
          <w:p>
            <w:pPr>
              <w:spacing w:after="20"/>
              <w:ind w:left="20"/>
              <w:jc w:val="both"/>
            </w:pPr>
            <w:r>
              <w:rPr>
                <w:rFonts w:ascii="Times New Roman"/>
                <w:b w:val="false"/>
                <w:i w:val="false"/>
                <w:color w:val="000000"/>
                <w:sz w:val="20"/>
              </w:rPr>
              <w:t>
2) переоформление лицензии – 3 (три) рабочих дня. При неполноте документов и (или) документов с истекшим сроком действия письменный мотивированный отказ услугодателя в приеме заявления – 2 (два) рабочих дня. 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право занятия деятельностью букмекерской конторы,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Ставки ежегодного лицензионного сбора за право занятия деятельностью букмекерской конторы в соответствии с пунктом 4 статьи 616 Налогового кодекса Республики Казахстан составляют:</w:t>
            </w:r>
          </w:p>
          <w:p>
            <w:pPr>
              <w:spacing w:after="20"/>
              <w:ind w:left="20"/>
              <w:jc w:val="both"/>
            </w:pPr>
            <w:r>
              <w:rPr>
                <w:rFonts w:ascii="Times New Roman"/>
                <w:b w:val="false"/>
                <w:i w:val="false"/>
                <w:color w:val="000000"/>
                <w:sz w:val="20"/>
              </w:rPr>
              <w:t>
сбор при выдаче лицензии составляет 640 месячных расчетных показателей (далее – МРП);</w:t>
            </w:r>
          </w:p>
          <w:p>
            <w:pPr>
              <w:spacing w:after="20"/>
              <w:ind w:left="20"/>
              <w:jc w:val="both"/>
            </w:pPr>
            <w:r>
              <w:rPr>
                <w:rFonts w:ascii="Times New Roman"/>
                <w:b w:val="false"/>
                <w:i w:val="false"/>
                <w:color w:val="000000"/>
                <w:sz w:val="20"/>
              </w:rPr>
              <w:t>
сбор за переоформление лицензии составляет 10 % от ставки при выдаче лицензии.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осуществляется с 9.00 до 17.00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xml:space="preserve">
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приложению 2 к настоящим Правилам. </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услугодатель получает из соответствующих цифровых систем через шлюз "цифрового правительства";</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ПШЦП) в форме электронного документа;</w:t>
            </w:r>
          </w:p>
          <w:p>
            <w:pPr>
              <w:spacing w:after="20"/>
              <w:ind w:left="20"/>
              <w:jc w:val="both"/>
            </w:pPr>
            <w:r>
              <w:rPr>
                <w:rFonts w:ascii="Times New Roman"/>
                <w:b w:val="false"/>
                <w:i w:val="false"/>
                <w:color w:val="000000"/>
                <w:sz w:val="20"/>
              </w:rPr>
              <w:t xml:space="preserve">
3) сведения о наличии здания (части здания, строения, сооружения) на праве собственности (с предоставлением подтверждающих документов), соответствующего санитарно-эпидемиологическим и противопожарным нормам, установленным законодательством Республики Казахстан, по форме согласно приложению 3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за № 22004)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w:t>
            </w:r>
          </w:p>
          <w:p>
            <w:pPr>
              <w:spacing w:after="20"/>
              <w:ind w:left="20"/>
              <w:jc w:val="both"/>
            </w:pPr>
            <w:r>
              <w:rPr>
                <w:rFonts w:ascii="Times New Roman"/>
                <w:b w:val="false"/>
                <w:i w:val="false"/>
                <w:color w:val="000000"/>
                <w:sz w:val="20"/>
              </w:rPr>
              <w:t>
4) сведения о наличии оборудования для организации и проведения пари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приложению 4 к настоящим Правилам;</w:t>
            </w:r>
          </w:p>
          <w:p>
            <w:pPr>
              <w:spacing w:after="20"/>
              <w:ind w:left="20"/>
              <w:jc w:val="both"/>
            </w:pPr>
            <w:r>
              <w:rPr>
                <w:rFonts w:ascii="Times New Roman"/>
                <w:b w:val="false"/>
                <w:i w:val="false"/>
                <w:color w:val="000000"/>
                <w:sz w:val="20"/>
              </w:rPr>
              <w:t xml:space="preserve">
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приложению 5 к настоящим Правилам;</w:t>
            </w:r>
          </w:p>
          <w:p>
            <w:pPr>
              <w:spacing w:after="20"/>
              <w:ind w:left="20"/>
              <w:jc w:val="both"/>
            </w:pPr>
            <w:r>
              <w:rPr>
                <w:rFonts w:ascii="Times New Roman"/>
                <w:b w:val="false"/>
                <w:i w:val="false"/>
                <w:color w:val="000000"/>
                <w:sz w:val="20"/>
              </w:rPr>
              <w:t xml:space="preserve">
6) правила работы букмекерской конторы в соответствии с Типовыми правилами работы букмекерской конторы,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xml:space="preserve">
7) договор с банком второго уровня на территории Республики Казахстан на открытие вклада в размере 40000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 </w:t>
            </w:r>
          </w:p>
          <w:p>
            <w:pPr>
              <w:spacing w:after="20"/>
              <w:ind w:left="20"/>
              <w:jc w:val="both"/>
            </w:pPr>
            <w:r>
              <w:rPr>
                <w:rFonts w:ascii="Times New Roman"/>
                <w:b w:val="false"/>
                <w:i w:val="false"/>
                <w:color w:val="000000"/>
                <w:sz w:val="20"/>
              </w:rPr>
              <w:t>
для переоформления лицензии:</w:t>
            </w:r>
          </w:p>
          <w:p>
            <w:pPr>
              <w:spacing w:after="20"/>
              <w:ind w:left="20"/>
              <w:jc w:val="both"/>
            </w:pPr>
            <w:r>
              <w:rPr>
                <w:rFonts w:ascii="Times New Roman"/>
                <w:b w:val="false"/>
                <w:i w:val="false"/>
                <w:color w:val="000000"/>
                <w:sz w:val="20"/>
              </w:rPr>
              <w:t>
1) заявление юридического лица на переоформление лицензии в форме электронного запроса,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ПШЦП) в форме электронного документа;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ПШЦП), о лицензии услугодатель получает из соответствующих государственных цифровых систем через шлюз "цифрового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деятельностью в сфере игорного бизнеса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xml:space="preserve">
3) услугополучатель государственной услуги не соответствует квалификационным требованиям, установленным </w:t>
            </w:r>
            <w:r>
              <w:rPr>
                <w:rFonts w:ascii="Times New Roman"/>
                <w:b w:val="false"/>
                <w:i w:val="false"/>
                <w:color w:val="000000"/>
                <w:sz w:val="20"/>
              </w:rPr>
              <w:t>статьей 13</w:t>
            </w:r>
            <w:r>
              <w:rPr>
                <w:rFonts w:ascii="Times New Roman"/>
                <w:b w:val="false"/>
                <w:i w:val="false"/>
                <w:color w:val="000000"/>
                <w:sz w:val="20"/>
              </w:rPr>
              <w:t xml:space="preserve"> Закона Республики Казахстан "Об игорном бизнесе";</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в сфере игорного бизнеса;</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услугодателя: 8 (7172) 741359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w:t>
            </w:r>
            <w:r>
              <w:br/>
            </w:r>
            <w:r>
              <w:rPr>
                <w:rFonts w:ascii="Times New Roman"/>
                <w:b w:val="false"/>
                <w:i w:val="false"/>
                <w:color w:val="000000"/>
                <w:sz w:val="20"/>
              </w:rPr>
              <w:t>букмекерской конторы"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 w:id="273"/>
    <w:p>
      <w:pPr>
        <w:spacing w:after="0"/>
        <w:ind w:left="0"/>
        <w:jc w:val="left"/>
      </w:pPr>
      <w:r>
        <w:rPr>
          <w:rFonts w:ascii="Times New Roman"/>
          <w:b/>
          <w:i w:val="false"/>
          <w:color w:val="000000"/>
        </w:rPr>
        <w:t xml:space="preserve"> Заявление юридического лица на получение лицензии</w:t>
      </w:r>
    </w:p>
    <w:bookmarkEnd w:id="273"/>
    <w:p>
      <w:pPr>
        <w:spacing w:after="0"/>
        <w:ind w:left="0"/>
        <w:jc w:val="both"/>
      </w:pPr>
      <w:bookmarkStart w:name="z424" w:id="274"/>
      <w:r>
        <w:rPr>
          <w:rFonts w:ascii="Times New Roman"/>
          <w:b w:val="false"/>
          <w:i w:val="false"/>
          <w:color w:val="000000"/>
          <w:sz w:val="28"/>
        </w:rPr>
        <w:t>
      В _________________________________________________________________</w:t>
      </w:r>
    </w:p>
    <w:bookmarkEnd w:id="27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w:t>
      </w:r>
    </w:p>
    <w:p>
      <w:pPr>
        <w:spacing w:after="0"/>
        <w:ind w:left="0"/>
        <w:jc w:val="both"/>
      </w:pPr>
      <w:r>
        <w:rPr>
          <w:rFonts w:ascii="Times New Roman"/>
          <w:b w:val="false"/>
          <w:i w:val="false"/>
          <w:color w:val="000000"/>
          <w:sz w:val="28"/>
        </w:rPr>
        <w:t>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bookmarkStart w:name="z425" w:id="275"/>
    <w:p>
      <w:pPr>
        <w:spacing w:after="0"/>
        <w:ind w:left="0"/>
        <w:jc w:val="both"/>
      </w:pPr>
      <w:r>
        <w:rPr>
          <w:rFonts w:ascii="Times New Roman"/>
          <w:b w:val="false"/>
          <w:i w:val="false"/>
          <w:color w:val="000000"/>
          <w:sz w:val="28"/>
        </w:rPr>
        <w:t>
      Сведения о руководителе, учредителях, участниках и бенефициарных собственниках юридического лица:</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(наименование документа, номер, серия (при наличии) и дата выдачи, кем выдан)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неснятой или непогашенной судимости</w:t>
            </w:r>
          </w:p>
          <w:p>
            <w:pPr>
              <w:spacing w:after="20"/>
              <w:ind w:left="20"/>
              <w:jc w:val="both"/>
            </w:pPr>
            <w:r>
              <w:rPr>
                <w:rFonts w:ascii="Times New Roman"/>
                <w:b w:val="false"/>
                <w:i w:val="false"/>
                <w:color w:val="000000"/>
                <w:sz w:val="20"/>
              </w:rPr>
              <w:t xml:space="preserve">(Да/нет (если да, то указываются реквизиты приговора суда, статья </w:t>
            </w:r>
            <w:r>
              <w:rPr>
                <w:rFonts w:ascii="Times New Roman"/>
                <w:b w:val="false"/>
                <w:i w:val="false"/>
                <w:color w:val="000000"/>
                <w:sz w:val="20"/>
              </w:rPr>
              <w:t>Уголовного</w:t>
            </w:r>
            <w:r>
              <w:rPr>
                <w:rFonts w:ascii="Times New Roman"/>
                <w:b w:val="false"/>
                <w:i w:val="false"/>
                <w:color w:val="000000"/>
                <w:sz w:val="20"/>
              </w:rPr>
              <w:t xml:space="preserve"> кодекса Республики Казахстан, если нет прилагается справка о наличии или отсутствии судимости))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Бенефициарные собственники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6" w:id="276"/>
      <w:r>
        <w:rPr>
          <w:rFonts w:ascii="Times New Roman"/>
          <w:b w:val="false"/>
          <w:i w:val="false"/>
          <w:color w:val="000000"/>
          <w:sz w:val="28"/>
        </w:rPr>
        <w:t>
      Прилагается ______ листов.</w:t>
      </w:r>
    </w:p>
    <w:bookmarkEnd w:id="276"/>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Руководитель___________________________________________________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тотализатора"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тотализатора".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игорного бизнеса и лотереи Министерства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 момента сдачи пакета документов на портал:</w:t>
            </w:r>
          </w:p>
          <w:p>
            <w:pPr>
              <w:spacing w:after="20"/>
              <w:ind w:left="20"/>
              <w:jc w:val="both"/>
            </w:pPr>
            <w:r>
              <w:rPr>
                <w:rFonts w:ascii="Times New Roman"/>
                <w:b w:val="false"/>
                <w:i w:val="false"/>
                <w:color w:val="000000"/>
                <w:sz w:val="20"/>
              </w:rPr>
              <w:t>
1) выдача лицензии – 10 (десять) рабочих дней;</w:t>
            </w:r>
          </w:p>
          <w:p>
            <w:pPr>
              <w:spacing w:after="20"/>
              <w:ind w:left="20"/>
              <w:jc w:val="both"/>
            </w:pPr>
            <w:r>
              <w:rPr>
                <w:rFonts w:ascii="Times New Roman"/>
                <w:b w:val="false"/>
                <w:i w:val="false"/>
                <w:color w:val="000000"/>
                <w:sz w:val="20"/>
              </w:rPr>
              <w:t>
2) переоформление лицензии – 3 (три) рабочих дня. При неполноте документов и (или) документов с истекшим сроком действия письменный мотивированный отказ услугодателя в приеме заявления – (два) рабочих дня.</w:t>
            </w:r>
          </w:p>
          <w:p>
            <w:pPr>
              <w:spacing w:after="20"/>
              <w:ind w:left="20"/>
              <w:jc w:val="both"/>
            </w:pPr>
            <w:r>
              <w:rPr>
                <w:rFonts w:ascii="Times New Roman"/>
                <w:b w:val="false"/>
                <w:i w:val="false"/>
                <w:color w:val="000000"/>
                <w:sz w:val="20"/>
              </w:rPr>
              <w:t>
При наличии действующей лицензии на осуществление деятельности в сфере игорного бизнеса услугополучателем подается заявление на получение новой лицензии на тот же вид деятельности заблаговременно за 90 календарных дней до истечения срока действующей лицензии. При этом днем начала срока действия новой лицензии считается день, следующий за днем окончания срока действующей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право занятия деятельностью тотализатора,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xml:space="preserve">
Ставки ежегодного лицензионного сбора за право занятия деятельностью букмекерской конторы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составляют:</w:t>
            </w:r>
          </w:p>
          <w:p>
            <w:pPr>
              <w:spacing w:after="20"/>
              <w:ind w:left="20"/>
              <w:jc w:val="both"/>
            </w:pPr>
            <w:r>
              <w:rPr>
                <w:rFonts w:ascii="Times New Roman"/>
                <w:b w:val="false"/>
                <w:i w:val="false"/>
                <w:color w:val="000000"/>
                <w:sz w:val="20"/>
              </w:rPr>
              <w:t>
сбор при выдаче лицензии составляет 640 месячных расчетных показателей (далее – МРП);</w:t>
            </w:r>
          </w:p>
          <w:p>
            <w:pPr>
              <w:spacing w:after="20"/>
              <w:ind w:left="20"/>
              <w:jc w:val="both"/>
            </w:pPr>
            <w:r>
              <w:rPr>
                <w:rFonts w:ascii="Times New Roman"/>
                <w:b w:val="false"/>
                <w:i w:val="false"/>
                <w:color w:val="000000"/>
                <w:sz w:val="20"/>
              </w:rPr>
              <w:t>
сбор за переоформление лицензии составляет 10 % от ставки при выдаче лицензии.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осуществляется с 9.00 до 17.00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xml:space="preserve">
1) заявление юридического лица на получение лицензии в форме электронного запроса, удостоверенного электронной цифровой подписью (далее - ЭЦП) услугополучателя, согласно приложению 2 к настоящим Правилам. </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услугодатель получает из соответствующих цифровых систем через шлюз "цифрового правительства";</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ПШЦП) в форме электронного документа;</w:t>
            </w:r>
          </w:p>
          <w:p>
            <w:pPr>
              <w:spacing w:after="20"/>
              <w:ind w:left="20"/>
              <w:jc w:val="both"/>
            </w:pPr>
            <w:r>
              <w:rPr>
                <w:rFonts w:ascii="Times New Roman"/>
                <w:b w:val="false"/>
                <w:i w:val="false"/>
                <w:color w:val="000000"/>
                <w:sz w:val="20"/>
              </w:rPr>
              <w:t xml:space="preserve">
3) сведения о наличии здания (части здания, строения, сооружения) на праве собственности (с предоставлением подтверждающих документов), соответствующего санитарно-эпидемиологическим и противопожарным нормам, установленным законодательством Республики Казахстан, по форме согласно приложению 3 к настоящим Правилам с предоставлением копий разрешительных документов в сферах санитарно-эпидемиологического благополучия населения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за № 22004) (для объектов высокой эпидемической значимости – получение санитарно-эпидемиологического заключения, для объектов незначительной эпидемической значимости – уведомление о начале деятельности) и в области пожарной безопасности нормам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w:t>
            </w:r>
          </w:p>
          <w:p>
            <w:pPr>
              <w:spacing w:after="20"/>
              <w:ind w:left="20"/>
              <w:jc w:val="both"/>
            </w:pPr>
            <w:r>
              <w:rPr>
                <w:rFonts w:ascii="Times New Roman"/>
                <w:b w:val="false"/>
                <w:i w:val="false"/>
                <w:color w:val="000000"/>
                <w:sz w:val="20"/>
              </w:rPr>
              <w:t>
4) сведения о наличии оборудования для организации и проведения пари на праве собственности (с предоставлением подтверждающих документов: декларация на товары, накладная на товарно-материальные ценности, счета-фактуры, договора купли-продажи о приобретении товарно-материальных ценностей), по форме согласно приложению 4 к настоящим Правилам;</w:t>
            </w:r>
          </w:p>
          <w:p>
            <w:pPr>
              <w:spacing w:after="20"/>
              <w:ind w:left="20"/>
              <w:jc w:val="both"/>
            </w:pPr>
            <w:r>
              <w:rPr>
                <w:rFonts w:ascii="Times New Roman"/>
                <w:b w:val="false"/>
                <w:i w:val="false"/>
                <w:color w:val="000000"/>
                <w:sz w:val="20"/>
              </w:rPr>
              <w:t xml:space="preserve">
5) сведения о наличии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5 Закона Республики Казахстан "Об охранной деятельности" (с предоставлением подтверждающих документов), по форме согласно приложению 5 к настоящим Правилам;</w:t>
            </w:r>
          </w:p>
          <w:p>
            <w:pPr>
              <w:spacing w:after="20"/>
              <w:ind w:left="20"/>
              <w:jc w:val="both"/>
            </w:pPr>
            <w:r>
              <w:rPr>
                <w:rFonts w:ascii="Times New Roman"/>
                <w:b w:val="false"/>
                <w:i w:val="false"/>
                <w:color w:val="000000"/>
                <w:sz w:val="20"/>
              </w:rPr>
              <w:t xml:space="preserve">
6) правила работы тотализатора в соответствии с Типовыми правилами работы тотализатора, приема ставок и проводимых азартных игр и (или) пари, утверждаемыми в сфере игорного бизнеса в соответствии с </w:t>
            </w:r>
            <w:r>
              <w:rPr>
                <w:rFonts w:ascii="Times New Roman"/>
                <w:b w:val="false"/>
                <w:i w:val="false"/>
                <w:color w:val="000000"/>
                <w:sz w:val="20"/>
              </w:rPr>
              <w:t>пунктом 2-1</w:t>
            </w:r>
            <w:r>
              <w:rPr>
                <w:rFonts w:ascii="Times New Roman"/>
                <w:b w:val="false"/>
                <w:i w:val="false"/>
                <w:color w:val="000000"/>
                <w:sz w:val="20"/>
              </w:rPr>
              <w:t xml:space="preserve"> статьи 15 Закона Республики Казахстан "Об игорном бизнесе" на казахском и русском языках в форме электронной копии документа;</w:t>
            </w:r>
          </w:p>
          <w:p>
            <w:pPr>
              <w:spacing w:after="20"/>
              <w:ind w:left="20"/>
              <w:jc w:val="both"/>
            </w:pPr>
            <w:r>
              <w:rPr>
                <w:rFonts w:ascii="Times New Roman"/>
                <w:b w:val="false"/>
                <w:i w:val="false"/>
                <w:color w:val="000000"/>
                <w:sz w:val="20"/>
              </w:rPr>
              <w:t>
7) договор с банком второго уровня на территории Республики Казахстан на открытие вклада в размере 10000 МРП, установленных законом о республиканском бюджете на соответствующий финансовый год, при условии выдачи вклада по первому требованию (вклада до востребования) в форме электронной копии документа;</w:t>
            </w:r>
          </w:p>
          <w:p>
            <w:pPr>
              <w:spacing w:after="20"/>
              <w:ind w:left="20"/>
              <w:jc w:val="both"/>
            </w:pPr>
            <w:r>
              <w:rPr>
                <w:rFonts w:ascii="Times New Roman"/>
                <w:b w:val="false"/>
                <w:i w:val="false"/>
                <w:color w:val="000000"/>
                <w:sz w:val="20"/>
              </w:rPr>
              <w:t>
для переоформления лицензии:</w:t>
            </w:r>
          </w:p>
          <w:p>
            <w:pPr>
              <w:spacing w:after="20"/>
              <w:ind w:left="20"/>
              <w:jc w:val="both"/>
            </w:pPr>
            <w:r>
              <w:rPr>
                <w:rFonts w:ascii="Times New Roman"/>
                <w:b w:val="false"/>
                <w:i w:val="false"/>
                <w:color w:val="000000"/>
                <w:sz w:val="20"/>
              </w:rPr>
              <w:t>
1) заявление юридического лица для переоформления лицензии в форме электронного запроса (далее – электронный запрос),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
2) документ об оплате в бюджет лицензионного сбора (за исключением случаев оплаты через ПШЦП) в форме электронного документа;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 Сведения о государственной регистрации (перерегистрации) юридического лица, документа, подтверждающего право собственности или иное законное право на недвижимое имущество, документа, подтверждающего оплату услугополучателем в бюджет суммы сбора (в случае оплаты через ПШЦП), о лицензии услугодатель получает из соответствующих государственных цифровых систем через шлюз "цифрового правительства". При подаче заявления через портал в "личный кабинет" услугополучателя направляется статус о принятии запроса на оказание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деятельностью в сфере игорного бизнеса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xml:space="preserve">
3) услугополучатель государственной услуги не соответствует квалификационным требованиям, установленным </w:t>
            </w:r>
            <w:r>
              <w:rPr>
                <w:rFonts w:ascii="Times New Roman"/>
                <w:b w:val="false"/>
                <w:i w:val="false"/>
                <w:color w:val="000000"/>
                <w:sz w:val="20"/>
              </w:rPr>
              <w:t>статьей 13</w:t>
            </w:r>
            <w:r>
              <w:rPr>
                <w:rFonts w:ascii="Times New Roman"/>
                <w:b w:val="false"/>
                <w:i w:val="false"/>
                <w:color w:val="000000"/>
                <w:sz w:val="20"/>
              </w:rPr>
              <w:t xml:space="preserve"> Закона Республики Казахстан "Об игорном бизнесе";</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в сфере игорного бизнеса;</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услугодателя: 8 (7172) 741359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тотализатора"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2" w:id="277"/>
    <w:p>
      <w:pPr>
        <w:spacing w:after="0"/>
        <w:ind w:left="0"/>
        <w:jc w:val="left"/>
      </w:pPr>
      <w:r>
        <w:rPr>
          <w:rFonts w:ascii="Times New Roman"/>
          <w:b/>
          <w:i w:val="false"/>
          <w:color w:val="000000"/>
        </w:rPr>
        <w:t xml:space="preserve"> Заявление юридического лица на получение лицензии</w:t>
      </w:r>
    </w:p>
    <w:bookmarkEnd w:id="277"/>
    <w:p>
      <w:pPr>
        <w:spacing w:after="0"/>
        <w:ind w:left="0"/>
        <w:jc w:val="both"/>
      </w:pPr>
      <w:bookmarkStart w:name="z463" w:id="278"/>
      <w:r>
        <w:rPr>
          <w:rFonts w:ascii="Times New Roman"/>
          <w:b w:val="false"/>
          <w:i w:val="false"/>
          <w:color w:val="000000"/>
          <w:sz w:val="28"/>
        </w:rPr>
        <w:t>
      В ______________________________________________________________</w:t>
      </w:r>
    </w:p>
    <w:bookmarkEnd w:id="27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(полное наименование,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w:t>
      </w:r>
    </w:p>
    <w:p>
      <w:pPr>
        <w:spacing w:after="0"/>
        <w:ind w:left="0"/>
        <w:jc w:val="both"/>
      </w:pPr>
      <w:r>
        <w:rPr>
          <w:rFonts w:ascii="Times New Roman"/>
          <w:b w:val="false"/>
          <w:i w:val="false"/>
          <w:color w:val="000000"/>
          <w:sz w:val="28"/>
        </w:rPr>
        <w:t>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Адрес юридического лица 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bookmarkStart w:name="z464" w:id="279"/>
    <w:p>
      <w:pPr>
        <w:spacing w:after="0"/>
        <w:ind w:left="0"/>
        <w:jc w:val="both"/>
      </w:pPr>
      <w:r>
        <w:rPr>
          <w:rFonts w:ascii="Times New Roman"/>
          <w:b w:val="false"/>
          <w:i w:val="false"/>
          <w:color w:val="000000"/>
          <w:sz w:val="28"/>
        </w:rPr>
        <w:t>
      Сведения о руководителе, учредителях, участниках и бенефициарных собственниках юридического лица:</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(наименование документа, номер, серия (при наличии) и дата выдачи, кем выдан)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неснятой или непогашенной судимости</w:t>
            </w:r>
          </w:p>
          <w:p>
            <w:pPr>
              <w:spacing w:after="20"/>
              <w:ind w:left="20"/>
              <w:jc w:val="both"/>
            </w:pPr>
            <w:r>
              <w:rPr>
                <w:rFonts w:ascii="Times New Roman"/>
                <w:b w:val="false"/>
                <w:i w:val="false"/>
                <w:color w:val="000000"/>
                <w:sz w:val="20"/>
              </w:rPr>
              <w:t xml:space="preserve">(Да/нет (если да, то указываются реквизиты приговора суда, статья </w:t>
            </w:r>
            <w:r>
              <w:rPr>
                <w:rFonts w:ascii="Times New Roman"/>
                <w:b w:val="false"/>
                <w:i w:val="false"/>
                <w:color w:val="000000"/>
                <w:sz w:val="20"/>
              </w:rPr>
              <w:t>Уголовного</w:t>
            </w:r>
            <w:r>
              <w:rPr>
                <w:rFonts w:ascii="Times New Roman"/>
                <w:b w:val="false"/>
                <w:i w:val="false"/>
                <w:color w:val="000000"/>
                <w:sz w:val="20"/>
              </w:rPr>
              <w:t xml:space="preserve"> кодекса Республики Казахстан, если нет прилагается справка о наличии или отсутствии судимости))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Бенефициарные собственники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5" w:id="280"/>
      <w:r>
        <w:rPr>
          <w:rFonts w:ascii="Times New Roman"/>
          <w:b w:val="false"/>
          <w:i w:val="false"/>
          <w:color w:val="000000"/>
          <w:sz w:val="28"/>
        </w:rPr>
        <w:t>
      Прилагается ______ листов.</w:t>
      </w:r>
    </w:p>
    <w:bookmarkEnd w:id="280"/>
    <w:p>
      <w:pPr>
        <w:spacing w:after="0"/>
        <w:ind w:left="0"/>
        <w:jc w:val="both"/>
      </w:pPr>
      <w:r>
        <w:rPr>
          <w:rFonts w:ascii="Times New Roman"/>
          <w:b w:val="false"/>
          <w:i w:val="false"/>
          <w:color w:val="000000"/>
          <w:sz w:val="28"/>
        </w:rPr>
        <w:t>Настоящим подтверждается, что: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Руководитель___________________________________________________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заполнения: "__" __________ 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