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1738" w14:textId="12c1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 и утверждения межрегиональных схем территориального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апреля 2026 года № 215. Зарегистрирован в Министерстве юстиции Республики Казахстан 4 мая 2026 года № 38636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разработки, согласования и утверждения межрегиональных схем территориального развития,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уратившим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23 октября 2023 года № 36 "Об утверждении Правил разработки, согласования и утверждения межрегиональных схем территориального развития" (зарегистрирован в Реестре государственной регистрации нормативных правовых актов № 33584);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мая 2025 года № 175 "О внесении изменения в приказ исполняющего обязанности Министра промышленности и строительства Республики Казахстан "Об утверждении Правил разработки, согласования и утверждения межрегиональных схем территориального развития" от 23 октября 2023 года № 36" (зарегистрирован в Реестре государственной регистрации нормативных правовых актов № 36150).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215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 и утверждения межрегиональных схем территориального развития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 и утверждения межрегиональных схем территориального развития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 и устанавливают порядок разработки, согласования и утверждения межрегиональных схем территориального развития для двух и более областей (либо их частей), агломераций.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согласования и утверждения межрегиональных схем территориального развития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Межрегиональная схема территориального развития (далее – Межрегиональная схема) разрабатывается в соответствии с генеральной схемой организации территории Республики Казахстан, предназначена для взаимно согласованной (консолидированной) архитектурной, градостроительной и строительной деятельности на территориях двух и более областей (либо их частей), агломераций и определяет: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зонирование территории;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проектные решения по комплексному развитию системы расселения и размещения производительных сил, транспортной, инженерной, социальной и рекреационной инфраструктур регионального и межрегионального значений;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проектные решения по рациональному использованию природных ресурсов и хозяйственной деятельности, обеспечению ресурсами, улучшению экологической обстановки;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проектные решения по защите территорий от воздействия чрезвычайных ситуаций природного и техногенного характера и мероприятия по гражданской обороне;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проектные предложения по формированию территорий активного экономического развития с определением мероприятий по их инфраструктурному обеспечению;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положения, устанавливаемые заданием на разработку межрегиональной схемы территориального развития.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разработки Межрегиональных схем осуществляется уполномоченным органом по делам архитектуры, градостроительства и строительства (далее – Заказчик) совместно с местными исполнительными органами (далее – МИО).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Межрегиональных схем в рамках государственного задания осуществляется республиканским государственным предприятием на праве хозяйственного ведения в сфере государственного градостроительного планирования и кадастра, созданным постановлением Правительства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составляет и утверждает задание на проектирование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Исходные материалы для разработки Межрегиональных схем подготавливаются в соответствии с заданием на проектирование заинтересованными государственными органами, а также соответствующими МИО и передаются разработчику (генеральному проектировщику) в течение десяти рабочих дней со дня поступления запроса.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направляет проекты Межрегиональных схем на рассмотрение и согласование в заинтересованные государственные органы после прохождения комплексной градостроительной экспертизы.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 Межрегиональной схемы до утверждения проходит комплексную градостроительную экспертизу согласно Правилам проведения комплексной градостроительной экспертизы градостроительных проектов, утвержденным уполномоченным органом по делам архитектуры, градостроительства и строительства,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Межрегиональные схемы, не прошедшие комплексную градостроительную экспертизу и не получившие ее положительное заключение не подлежат утверждению.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Межрегиональные схемы утверждаются Правительством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Утверждаемой частью Межрегиональной схемы являются основные положения, основной чертеж и основные технико-экономические показатели проекта Межрегиональной схемы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утвержденных Межрегиональных схем в векторном виде для внесения в базу данных государственного градостроительного кадастра осуществляется в соответствии с Правилами ведения и предоставления информации и (или) сведений из государственного градостроительного кадастра, утвержденными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развития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1. Вид градостроительного проекта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2. Заказчик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3. Проектная организация (исполнитель)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4. Основание для проектирования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5. Объект градостроительного планирования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6. Основные требования к составу, содержанию и форме представляемых материалов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этапам проектирования, последовательность и сроки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47" w:id="38"/>
      <w:r>
        <w:rPr>
          <w:rFonts w:ascii="Times New Roman"/>
          <w:b w:val="false"/>
          <w:i w:val="false"/>
          <w:color w:val="000000"/>
          <w:sz w:val="28"/>
        </w:rPr>
        <w:t>
      7. Состав, исполнители, сроки и порядок предоставления исходной информации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8" w:id="39"/>
      <w:r>
        <w:rPr>
          <w:rFonts w:ascii="Times New Roman"/>
          <w:b w:val="false"/>
          <w:i w:val="false"/>
          <w:color w:val="000000"/>
          <w:sz w:val="28"/>
        </w:rPr>
        <w:t>
      8. Перечень уполномоченных государственных органов и местных исполнительных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согласовывающих данный вид градостроительного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>
      9. Иные требования и условия: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исполнителя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от уполномоченных (или местных исполнительных) органов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наличии)),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иных согласовывающих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наименование) 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(дата)</w:t>
      </w:r>
    </w:p>
    <w:p>
      <w:pPr>
        <w:spacing w:after="0"/>
        <w:ind w:left="0"/>
        <w:jc w:val="both"/>
      </w:pPr>
      <w:bookmarkStart w:name="z50" w:id="41"/>
      <w:r>
        <w:rPr>
          <w:rFonts w:ascii="Times New Roman"/>
          <w:b w:val="false"/>
          <w:i w:val="false"/>
          <w:color w:val="000000"/>
          <w:sz w:val="28"/>
        </w:rPr>
        <w:t>
      Примечание: Содержание задания уточняется в соответствии с требованиями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разработке отдельных видов градостроительной документации и специфики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градостроительного планирования и застройки.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развития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 проекта Межрегиональной схемы территориального развития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период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территорий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оздоровительного, рекреационного и историко-культурного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гектар/%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городского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родившихся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прирост/ убыль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прибывших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выбывших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/убыль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городов,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(с расчетной численностью свыше 501,0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(с расчетной численностью населения от 101,0 до 500,0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(с расчетной численностью населения от 51,0 до 100,0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(с расчетной численностью населения до 50,0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человек/1 километров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 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Занятое население по видам экономической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численности занятого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потенциал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промышленного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общей площадью жилья: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дошкольного, начального и среднего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единиц/учащихся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общеобразовательные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 и искусства: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томов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клубного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 (больницы, поликлиники, родильные дома, фельдшерско-акушерские пункты и другие медицинские пункты):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стационарную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амбулаторно-поликлиническую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санаторно-курортного назначения, отдыха и туризма (санатории, пансионаты, дома отдыха, лагеря и другие)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социального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медико-социальные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детей стационарного и полустационарного типов (в том числе с психоневрологическими патологиями и нарушением опорно-двигательного аппарата)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железнодорожных путей сообщения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судоходных речных путей с гарантированными глубинами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 (международного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газопроводов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нефтепроводов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транспортной сети: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километров/100 километров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километров/100 километров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километров/100 километров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(национальные)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подземных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поверхностных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-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 питьевые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промышленные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сельскохозяйственные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Среднесуточное водопотребление на 1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 на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 - 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водные объекты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мегаватт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электростанции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атомные электростанции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возобновляемые источники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киловатт/час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киловатт/час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киловатт/час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электропередач напряжением 35 киловольт и выше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гигакалорий/час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гигакалорий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рациональное использование природных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населенных пунктов с высоким уровнем загрязнения атмосферного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нормативных выбросов загрязняющих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твердых бытовых отходов к их образованию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нормативных сбросов загрязняющих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Лесистость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особо охраняемых природных территорий к общей площади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пожарного депо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депо/автомобилей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