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6975" w14:textId="e016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ограниченных мер воздействия к оператору платформы цифровых финансовых активов, оператору торговой платформы цифровых активов</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апреля 2026 года № 49. Зарегистрировано в Министерстве юстиции Республики Казахстан 30 апреля 2026 года № 38613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мая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части второй пункта 1 статьи 4 Закона Республики Казахстан "О цифровых активах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ограниченных мер воздействия к оператору платформы цифровых финансовых активов, оператору торговой платформы цифровых активов.</w:t>
      </w:r>
    </w:p>
    <w:bookmarkEnd w:id="1"/>
    <w:bookmarkStart w:name="z7" w:id="2"/>
    <w:p>
      <w:pPr>
        <w:spacing w:after="0"/>
        <w:ind w:left="0"/>
        <w:jc w:val="both"/>
      </w:pPr>
      <w:r>
        <w:rPr>
          <w:rFonts w:ascii="Times New Roman"/>
          <w:b w:val="false"/>
          <w:i w:val="false"/>
          <w:color w:val="000000"/>
          <w:sz w:val="28"/>
        </w:rPr>
        <w:t>
      2.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1 мая 2026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29 апреля 2026 года № 49</w:t>
            </w:r>
          </w:p>
        </w:tc>
      </w:tr>
    </w:tbl>
    <w:bookmarkStart w:name="z15" w:id="8"/>
    <w:p>
      <w:pPr>
        <w:spacing w:after="0"/>
        <w:ind w:left="0"/>
        <w:jc w:val="left"/>
      </w:pPr>
      <w:r>
        <w:rPr>
          <w:rFonts w:ascii="Times New Roman"/>
          <w:b/>
          <w:i w:val="false"/>
          <w:color w:val="000000"/>
        </w:rPr>
        <w:t xml:space="preserve"> Правила применения ограниченных мер воздействия к оператору платформы цифровых финансовых активов, оператору торговой платформы цифровых активов</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применения ограниченных мер воздействия к оператору платформы цифровых финансовых активов, оператору торговой платформы цифровых активов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части второй пункта 1 статьи 4 Закона Республики Казахстан "О цифровых активах в Республике Казахстан" и определяют порядок применения Национальным Банком Республики Казахстан (далее – Национальный Банк) ограниченных мер воздействия в отношении оператора платформы цифровых финансовых активов, оператора торговой платформы цифровых активов (далее – субъекты рынка цифровых активов).</w:t>
      </w:r>
    </w:p>
    <w:bookmarkEnd w:id="10"/>
    <w:bookmarkStart w:name="z18" w:id="11"/>
    <w:p>
      <w:pPr>
        <w:spacing w:after="0"/>
        <w:ind w:left="0"/>
        <w:jc w:val="both"/>
      </w:pPr>
      <w:r>
        <w:rPr>
          <w:rFonts w:ascii="Times New Roman"/>
          <w:b w:val="false"/>
          <w:i w:val="false"/>
          <w:color w:val="000000"/>
          <w:sz w:val="28"/>
        </w:rPr>
        <w:t>
      2. В Правилах используются понятия, предусмотренные Законом Республики Казахстан "О цифровых активах в Республике Казахстан".</w:t>
      </w:r>
    </w:p>
    <w:bookmarkEnd w:id="11"/>
    <w:bookmarkStart w:name="z19" w:id="12"/>
    <w:p>
      <w:pPr>
        <w:spacing w:after="0"/>
        <w:ind w:left="0"/>
        <w:jc w:val="both"/>
      </w:pPr>
      <w:r>
        <w:rPr>
          <w:rFonts w:ascii="Times New Roman"/>
          <w:b w:val="false"/>
          <w:i w:val="false"/>
          <w:color w:val="000000"/>
          <w:sz w:val="28"/>
        </w:rPr>
        <w:t>
      3. Национальный Банк применяет ограниченную меру воздействия в отношении субъектов рынка цифровых активов при наличии одного и более из следующих факторов:</w:t>
      </w:r>
    </w:p>
    <w:bookmarkEnd w:id="12"/>
    <w:bookmarkStart w:name="z20" w:id="13"/>
    <w:p>
      <w:pPr>
        <w:spacing w:after="0"/>
        <w:ind w:left="0"/>
        <w:jc w:val="both"/>
      </w:pPr>
      <w:r>
        <w:rPr>
          <w:rFonts w:ascii="Times New Roman"/>
          <w:b w:val="false"/>
          <w:i w:val="false"/>
          <w:color w:val="000000"/>
          <w:sz w:val="28"/>
        </w:rPr>
        <w:t>
      1) уровня риска;</w:t>
      </w:r>
    </w:p>
    <w:bookmarkEnd w:id="13"/>
    <w:bookmarkStart w:name="z21" w:id="14"/>
    <w:p>
      <w:pPr>
        <w:spacing w:after="0"/>
        <w:ind w:left="0"/>
        <w:jc w:val="both"/>
      </w:pPr>
      <w:r>
        <w:rPr>
          <w:rFonts w:ascii="Times New Roman"/>
          <w:b w:val="false"/>
          <w:i w:val="false"/>
          <w:color w:val="000000"/>
          <w:sz w:val="28"/>
        </w:rPr>
        <w:t>
      Под риском понимается вероятность возникновения негативных последствий в виде нарушения прав и свобод граждан, инвесторов (держателей цифровых активов), нанесения ущерба интересам общества и государству в результате неисполнения и (или) неполного исполнения субъектами рынка цифровых активов требований, установленных законодательством Республики Казахстан о цифровых активах,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рынке ценных бумаг, а также ухудшения способности субъектов рынка цифровых активов выполнять свои обязательства по обеспечению функционирования платформы цифровых финансовых активов, торговой платформы цифровых активов либо по оказанию услуг оператора платформы цифровых финансовых активов, оператора торговой платформы цифровых активов;</w:t>
      </w:r>
    </w:p>
    <w:bookmarkEnd w:id="14"/>
    <w:bookmarkStart w:name="z22" w:id="15"/>
    <w:p>
      <w:pPr>
        <w:spacing w:after="0"/>
        <w:ind w:left="0"/>
        <w:jc w:val="both"/>
      </w:pPr>
      <w:r>
        <w:rPr>
          <w:rFonts w:ascii="Times New Roman"/>
          <w:b w:val="false"/>
          <w:i w:val="false"/>
          <w:color w:val="000000"/>
          <w:sz w:val="28"/>
        </w:rPr>
        <w:t>
      2) способности изменить ситуацию в результате применения выбранной ограниченной меры воздействия;</w:t>
      </w:r>
    </w:p>
    <w:bookmarkEnd w:id="15"/>
    <w:bookmarkStart w:name="z23" w:id="16"/>
    <w:p>
      <w:pPr>
        <w:spacing w:after="0"/>
        <w:ind w:left="0"/>
        <w:jc w:val="both"/>
      </w:pPr>
      <w:r>
        <w:rPr>
          <w:rFonts w:ascii="Times New Roman"/>
          <w:b w:val="false"/>
          <w:i w:val="false"/>
          <w:color w:val="000000"/>
          <w:sz w:val="28"/>
        </w:rPr>
        <w:t>
      3) характера нарушений и последствий для субъектов рынка цифровых активов, их клиентов и контрагентов;</w:t>
      </w:r>
    </w:p>
    <w:bookmarkEnd w:id="16"/>
    <w:bookmarkStart w:name="z24" w:id="17"/>
    <w:p>
      <w:pPr>
        <w:spacing w:after="0"/>
        <w:ind w:left="0"/>
        <w:jc w:val="both"/>
      </w:pPr>
      <w:r>
        <w:rPr>
          <w:rFonts w:ascii="Times New Roman"/>
          <w:b w:val="false"/>
          <w:i w:val="false"/>
          <w:color w:val="000000"/>
          <w:sz w:val="28"/>
        </w:rPr>
        <w:t>
      4) частоты и продолжительности нарушений;</w:t>
      </w:r>
    </w:p>
    <w:bookmarkEnd w:id="17"/>
    <w:bookmarkStart w:name="z25" w:id="18"/>
    <w:p>
      <w:pPr>
        <w:spacing w:after="0"/>
        <w:ind w:left="0"/>
        <w:jc w:val="both"/>
      </w:pPr>
      <w:r>
        <w:rPr>
          <w:rFonts w:ascii="Times New Roman"/>
          <w:b w:val="false"/>
          <w:i w:val="false"/>
          <w:color w:val="000000"/>
          <w:sz w:val="28"/>
        </w:rPr>
        <w:t>
      5) мер по устранению допущенных нарушений и (или) причин, а также условий, способствовавших их совершению, принятых (планируемых) субъектами рынка цифровых активов;</w:t>
      </w:r>
    </w:p>
    <w:bookmarkEnd w:id="18"/>
    <w:bookmarkStart w:name="z26" w:id="19"/>
    <w:p>
      <w:pPr>
        <w:spacing w:after="0"/>
        <w:ind w:left="0"/>
        <w:jc w:val="both"/>
      </w:pPr>
      <w:r>
        <w:rPr>
          <w:rFonts w:ascii="Times New Roman"/>
          <w:b w:val="false"/>
          <w:i w:val="false"/>
          <w:color w:val="000000"/>
          <w:sz w:val="28"/>
        </w:rPr>
        <w:t>
      6) наличия примененных ограниченных мер воздействия, санкций за нарушение требований законодательства Республики Казахстан по вопросам, входящим в компетенцию Национального Банка, к субъектам рынка цифровых активов;</w:t>
      </w:r>
    </w:p>
    <w:bookmarkEnd w:id="19"/>
    <w:bookmarkStart w:name="z27" w:id="20"/>
    <w:p>
      <w:pPr>
        <w:spacing w:after="0"/>
        <w:ind w:left="0"/>
        <w:jc w:val="both"/>
      </w:pPr>
      <w:r>
        <w:rPr>
          <w:rFonts w:ascii="Times New Roman"/>
          <w:b w:val="false"/>
          <w:i w:val="false"/>
          <w:color w:val="000000"/>
          <w:sz w:val="28"/>
        </w:rPr>
        <w:t>
      7) осведомленности руководящих работников субъектов рынка цифровых активов о допущенных нарушениях;</w:t>
      </w:r>
    </w:p>
    <w:bookmarkEnd w:id="20"/>
    <w:bookmarkStart w:name="z28" w:id="21"/>
    <w:p>
      <w:pPr>
        <w:spacing w:after="0"/>
        <w:ind w:left="0"/>
        <w:jc w:val="both"/>
      </w:pPr>
      <w:r>
        <w:rPr>
          <w:rFonts w:ascii="Times New Roman"/>
          <w:b w:val="false"/>
          <w:i w:val="false"/>
          <w:color w:val="000000"/>
          <w:sz w:val="28"/>
        </w:rPr>
        <w:t>
      8) анализа применяемой системы управления рисками и внутреннего контроля;</w:t>
      </w:r>
    </w:p>
    <w:bookmarkEnd w:id="21"/>
    <w:bookmarkStart w:name="z29" w:id="22"/>
    <w:p>
      <w:pPr>
        <w:spacing w:after="0"/>
        <w:ind w:left="0"/>
        <w:jc w:val="both"/>
      </w:pPr>
      <w:r>
        <w:rPr>
          <w:rFonts w:ascii="Times New Roman"/>
          <w:b w:val="false"/>
          <w:i w:val="false"/>
          <w:color w:val="000000"/>
          <w:sz w:val="28"/>
        </w:rPr>
        <w:t>
      9) общей способности субъектов рынка цифровых активов по обеспечению функционирования платформы цифровых финансовых активов, торговой платформы цифровых активов либо по оказанию услуг цифровых активов.</w:t>
      </w:r>
    </w:p>
    <w:bookmarkEnd w:id="22"/>
    <w:bookmarkStart w:name="z30" w:id="23"/>
    <w:p>
      <w:pPr>
        <w:spacing w:after="0"/>
        <w:ind w:left="0"/>
        <w:jc w:val="both"/>
      </w:pPr>
      <w:r>
        <w:rPr>
          <w:rFonts w:ascii="Times New Roman"/>
          <w:b w:val="false"/>
          <w:i w:val="false"/>
          <w:color w:val="000000"/>
          <w:sz w:val="28"/>
        </w:rPr>
        <w:t>
      4. Анализ способности оператора платформы цифровых финансовых активов и оператора торговой платформы цифровых активов выполнять свои обязательства по обеспечению функционирования платформы цифровых финансовых активов, торговой платформы цифровых активов определяется на основании сведений по выпуску и (или) обороту (обращению) цифровых финансовых активов, представляемых в Национальный Банк, отчетности об услугах цифровых активов, представляемых в Национальный Банк, материалов оценок (самооценок) функционирования платформы цифровых финансовых активов, торговой платформы цифровых активов, результатов проведенного оператором платформы цифровых финансовых активов и оператором торговой платформы цифровых активов анализа эффективности функционирования платформы цифровых финансовых активов и торговой платформы цифровых активов на предмет удовлетворенности участников качеством предоставляемых услуг, результатов проверок и поступающих обращений физических и юридических лиц, государственных органов, анализа выполнения требований по наличию систем управления рисками и внутреннего контроля.</w:t>
      </w:r>
    </w:p>
    <w:bookmarkEnd w:id="23"/>
    <w:bookmarkStart w:name="z31" w:id="24"/>
    <w:p>
      <w:pPr>
        <w:spacing w:after="0"/>
        <w:ind w:left="0"/>
        <w:jc w:val="both"/>
      </w:pPr>
      <w:r>
        <w:rPr>
          <w:rFonts w:ascii="Times New Roman"/>
          <w:b w:val="false"/>
          <w:i w:val="false"/>
          <w:color w:val="000000"/>
          <w:sz w:val="28"/>
        </w:rPr>
        <w:t>
      5. В отношении субъектов рынка цифровых активов Национальный Банк применяет следующие виды ограниченных мер воздействия за нарушение требований законодательства Республики Казахстан о цифровых активах в Республике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рынке ценных бумаг:</w:t>
      </w:r>
    </w:p>
    <w:bookmarkEnd w:id="24"/>
    <w:bookmarkStart w:name="z32" w:id="25"/>
    <w:p>
      <w:pPr>
        <w:spacing w:after="0"/>
        <w:ind w:left="0"/>
        <w:jc w:val="both"/>
      </w:pPr>
      <w:r>
        <w:rPr>
          <w:rFonts w:ascii="Times New Roman"/>
          <w:b w:val="false"/>
          <w:i w:val="false"/>
          <w:color w:val="000000"/>
          <w:sz w:val="28"/>
        </w:rPr>
        <w:t>
      1) направление обязательного для исполнения письменного предписания;</w:t>
      </w:r>
    </w:p>
    <w:bookmarkEnd w:id="25"/>
    <w:bookmarkStart w:name="z33" w:id="26"/>
    <w:p>
      <w:pPr>
        <w:spacing w:after="0"/>
        <w:ind w:left="0"/>
        <w:jc w:val="both"/>
      </w:pPr>
      <w:r>
        <w:rPr>
          <w:rFonts w:ascii="Times New Roman"/>
          <w:b w:val="false"/>
          <w:i w:val="false"/>
          <w:color w:val="000000"/>
          <w:sz w:val="28"/>
        </w:rPr>
        <w:t>
      2) вынесение письменного предупреждения;</w:t>
      </w:r>
    </w:p>
    <w:bookmarkEnd w:id="26"/>
    <w:bookmarkStart w:name="z34" w:id="27"/>
    <w:p>
      <w:pPr>
        <w:spacing w:after="0"/>
        <w:ind w:left="0"/>
        <w:jc w:val="both"/>
      </w:pPr>
      <w:r>
        <w:rPr>
          <w:rFonts w:ascii="Times New Roman"/>
          <w:b w:val="false"/>
          <w:i w:val="false"/>
          <w:color w:val="000000"/>
          <w:sz w:val="28"/>
        </w:rPr>
        <w:t>
      3) составление письменного соглашения.</w:t>
      </w:r>
    </w:p>
    <w:bookmarkEnd w:id="27"/>
    <w:bookmarkStart w:name="z35" w:id="28"/>
    <w:p>
      <w:pPr>
        <w:spacing w:after="0"/>
        <w:ind w:left="0"/>
        <w:jc w:val="both"/>
      </w:pPr>
      <w:r>
        <w:rPr>
          <w:rFonts w:ascii="Times New Roman"/>
          <w:b w:val="false"/>
          <w:i w:val="false"/>
          <w:color w:val="000000"/>
          <w:sz w:val="28"/>
        </w:rPr>
        <w:t>
      6. Национальный Банк ведет учет примененных ограниченных мер воздействия и размещает информацию о примененных ограниченных мерах воздействия на своем официальном интернет-ресурсе, включая наименование субъекта рынка цифровых активов и вида примененной меры воздействия.</w:t>
      </w:r>
    </w:p>
    <w:bookmarkEnd w:id="28"/>
    <w:bookmarkStart w:name="z36" w:id="29"/>
    <w:p>
      <w:pPr>
        <w:spacing w:after="0"/>
        <w:ind w:left="0"/>
        <w:jc w:val="both"/>
      </w:pPr>
      <w:r>
        <w:rPr>
          <w:rFonts w:ascii="Times New Roman"/>
          <w:b w:val="false"/>
          <w:i w:val="false"/>
          <w:color w:val="000000"/>
          <w:sz w:val="28"/>
        </w:rPr>
        <w:t>
      7. Применение одной ограниченной меры воздействия не исключает применения других ограниченных мер воздействия.</w:t>
      </w:r>
    </w:p>
    <w:bookmarkEnd w:id="29"/>
    <w:bookmarkStart w:name="z37" w:id="30"/>
    <w:p>
      <w:pPr>
        <w:spacing w:after="0"/>
        <w:ind w:left="0"/>
        <w:jc w:val="both"/>
      </w:pPr>
      <w:r>
        <w:rPr>
          <w:rFonts w:ascii="Times New Roman"/>
          <w:b w:val="false"/>
          <w:i w:val="false"/>
          <w:color w:val="000000"/>
          <w:sz w:val="28"/>
        </w:rPr>
        <w:t>
      8. Субъект рынка цифровых активов уведомляет Национальный Банк об исполнении ограниченной меры воздействия в сроки, указанные в письменном предписании, письменном предупреждении, письменном соглашении.</w:t>
      </w:r>
    </w:p>
    <w:bookmarkEnd w:id="30"/>
    <w:bookmarkStart w:name="z38" w:id="31"/>
    <w:p>
      <w:pPr>
        <w:spacing w:after="0"/>
        <w:ind w:left="0"/>
        <w:jc w:val="both"/>
      </w:pPr>
      <w:r>
        <w:rPr>
          <w:rFonts w:ascii="Times New Roman"/>
          <w:b w:val="false"/>
          <w:i w:val="false"/>
          <w:color w:val="000000"/>
          <w:sz w:val="28"/>
        </w:rPr>
        <w:t>
      Уведомление направляется в Национальный Банк в течение 5 (пяти) рабочих дней после определенной при применении ограниченной меры воздействия даты устранения нарушений и (или) причин, а также условий, способствовавших их совершению.</w:t>
      </w:r>
    </w:p>
    <w:bookmarkEnd w:id="31"/>
    <w:bookmarkStart w:name="z39" w:id="32"/>
    <w:p>
      <w:pPr>
        <w:spacing w:after="0"/>
        <w:ind w:left="0"/>
        <w:jc w:val="both"/>
      </w:pPr>
      <w:r>
        <w:rPr>
          <w:rFonts w:ascii="Times New Roman"/>
          <w:b w:val="false"/>
          <w:i w:val="false"/>
          <w:color w:val="000000"/>
          <w:sz w:val="28"/>
        </w:rPr>
        <w:t>
      Если установленный в ограниченной мере воздействия срок устранения нарушений и (или) причин, а также условий, способствовавших их совершению, превышает один месяц, субъект рынка цифровых активов ежемесячно уведомляет Национальный Банк о поэтапном исполнении условий и мероприятий, направленных на устранение нарушений с приложением копий подтверждающих документов, в срок до 5 (пятого) числа месяца, следующего за отчетным.</w:t>
      </w:r>
    </w:p>
    <w:bookmarkEnd w:id="32"/>
    <w:bookmarkStart w:name="z40" w:id="33"/>
    <w:p>
      <w:pPr>
        <w:spacing w:after="0"/>
        <w:ind w:left="0"/>
        <w:jc w:val="both"/>
      </w:pPr>
      <w:r>
        <w:rPr>
          <w:rFonts w:ascii="Times New Roman"/>
          <w:b w:val="false"/>
          <w:i w:val="false"/>
          <w:color w:val="000000"/>
          <w:sz w:val="28"/>
        </w:rPr>
        <w:t>
      9. Началом срока выполнения субъектом рынка цифровых активов условий и мероприятий, предусмотренных в соответствующем документе Национального Банка о применении ограниченной меры воздействия, считается дата его фактического получения.</w:t>
      </w:r>
    </w:p>
    <w:bookmarkEnd w:id="33"/>
    <w:bookmarkStart w:name="z41" w:id="34"/>
    <w:p>
      <w:pPr>
        <w:spacing w:after="0"/>
        <w:ind w:left="0"/>
        <w:jc w:val="left"/>
      </w:pPr>
      <w:r>
        <w:rPr>
          <w:rFonts w:ascii="Times New Roman"/>
          <w:b/>
          <w:i w:val="false"/>
          <w:color w:val="000000"/>
        </w:rPr>
        <w:t xml:space="preserve"> Глава 2. Направление обязательного для исполнения письменного предписания</w:t>
      </w:r>
    </w:p>
    <w:bookmarkEnd w:id="34"/>
    <w:bookmarkStart w:name="z42" w:id="35"/>
    <w:p>
      <w:pPr>
        <w:spacing w:after="0"/>
        <w:ind w:left="0"/>
        <w:jc w:val="both"/>
      </w:pPr>
      <w:r>
        <w:rPr>
          <w:rFonts w:ascii="Times New Roman"/>
          <w:b w:val="false"/>
          <w:i w:val="false"/>
          <w:color w:val="000000"/>
          <w:sz w:val="28"/>
        </w:rPr>
        <w:t>
      10. Письменным предписанием является указание субъекту рынка цифровых активов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в письменном предписании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35"/>
    <w:bookmarkStart w:name="z43" w:id="36"/>
    <w:p>
      <w:pPr>
        <w:spacing w:after="0"/>
        <w:ind w:left="0"/>
        <w:jc w:val="both"/>
      </w:pPr>
      <w:r>
        <w:rPr>
          <w:rFonts w:ascii="Times New Roman"/>
          <w:b w:val="false"/>
          <w:i w:val="false"/>
          <w:color w:val="000000"/>
          <w:sz w:val="28"/>
        </w:rPr>
        <w:t>
      11. Коррективные меры указываются в письменном предписании и представляют собой обязательные к исполнению следующие меры:</w:t>
      </w:r>
    </w:p>
    <w:bookmarkEnd w:id="36"/>
    <w:bookmarkStart w:name="z44" w:id="37"/>
    <w:p>
      <w:pPr>
        <w:spacing w:after="0"/>
        <w:ind w:left="0"/>
        <w:jc w:val="both"/>
      </w:pPr>
      <w:r>
        <w:rPr>
          <w:rFonts w:ascii="Times New Roman"/>
          <w:b w:val="false"/>
          <w:i w:val="false"/>
          <w:color w:val="000000"/>
          <w:sz w:val="28"/>
        </w:rPr>
        <w:t>
      1) по выполнению обязательств перед клиентами, контрагентами и (или) провайдерами услуг, третьими лицами, с которыми субъектом рынка цифровых активов заключены договорные обязательства, направленные на оказание услуг цифровых активов;</w:t>
      </w:r>
    </w:p>
    <w:bookmarkEnd w:id="37"/>
    <w:bookmarkStart w:name="z45" w:id="38"/>
    <w:p>
      <w:pPr>
        <w:spacing w:after="0"/>
        <w:ind w:left="0"/>
        <w:jc w:val="both"/>
      </w:pPr>
      <w:r>
        <w:rPr>
          <w:rFonts w:ascii="Times New Roman"/>
          <w:b w:val="false"/>
          <w:i w:val="false"/>
          <w:color w:val="000000"/>
          <w:sz w:val="28"/>
        </w:rPr>
        <w:t>
      2) по устранению выявленных нарушений требований, установленных законодательством Республики Казахстан о цифровых активах,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рынке ценных бумаг, а также причин и (или) условий, способствующих их совершению;</w:t>
      </w:r>
    </w:p>
    <w:bookmarkEnd w:id="38"/>
    <w:bookmarkStart w:name="z46" w:id="39"/>
    <w:p>
      <w:pPr>
        <w:spacing w:after="0"/>
        <w:ind w:left="0"/>
        <w:jc w:val="both"/>
      </w:pPr>
      <w:r>
        <w:rPr>
          <w:rFonts w:ascii="Times New Roman"/>
          <w:b w:val="false"/>
          <w:i w:val="false"/>
          <w:color w:val="000000"/>
          <w:sz w:val="28"/>
        </w:rPr>
        <w:t>
      3) по выполнению предъявляемых к субъекту рынка цифровых активов требований, установленных законодательством Республики Казахстан о цифровых активах,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рынке ценных бумаг.</w:t>
      </w:r>
    </w:p>
    <w:bookmarkEnd w:id="39"/>
    <w:bookmarkStart w:name="z47" w:id="40"/>
    <w:p>
      <w:pPr>
        <w:spacing w:after="0"/>
        <w:ind w:left="0"/>
        <w:jc w:val="both"/>
      </w:pPr>
      <w:r>
        <w:rPr>
          <w:rFonts w:ascii="Times New Roman"/>
          <w:b w:val="false"/>
          <w:i w:val="false"/>
          <w:color w:val="000000"/>
          <w:sz w:val="28"/>
        </w:rPr>
        <w:t>
      12. Субъект рынка цифровых активов в срок, установленный письменным предписанием, представляет в Национальный Банк план мероприятий с указанием описания нарушений, причин и (или) условий, способствовавших их совершению, перечня запланированных мероприятий, сроков их осуществления, а также ответственных должностных лиц.</w:t>
      </w:r>
    </w:p>
    <w:bookmarkEnd w:id="40"/>
    <w:bookmarkStart w:name="z48" w:id="41"/>
    <w:p>
      <w:pPr>
        <w:spacing w:after="0"/>
        <w:ind w:left="0"/>
        <w:jc w:val="both"/>
      </w:pPr>
      <w:r>
        <w:rPr>
          <w:rFonts w:ascii="Times New Roman"/>
          <w:b w:val="false"/>
          <w:i w:val="false"/>
          <w:color w:val="000000"/>
          <w:sz w:val="28"/>
        </w:rPr>
        <w:t>
      13. Национальный Банк в течение 10 (десяти) рабочих дней со дня представления плана мероприятий рассматривает его и в случае несогласия направляет по нему свое заключение, которое содержит указание субъекту рынка цифровых активов о необходимости корректировки запланированных мероприятий либо сроков их исполнения и представления уточненного плана мероприятий в срок, установленный Национальным Банком.</w:t>
      </w:r>
    </w:p>
    <w:bookmarkEnd w:id="41"/>
    <w:bookmarkStart w:name="z49" w:id="42"/>
    <w:p>
      <w:pPr>
        <w:spacing w:after="0"/>
        <w:ind w:left="0"/>
        <w:jc w:val="both"/>
      </w:pPr>
      <w:r>
        <w:rPr>
          <w:rFonts w:ascii="Times New Roman"/>
          <w:b w:val="false"/>
          <w:i w:val="false"/>
          <w:color w:val="000000"/>
          <w:sz w:val="28"/>
        </w:rPr>
        <w:t>
      14. В случае ненаправления Национальным Банком заключения в течение срока, указанного в пункте 13 Правил, план мероприятий считается принятым.</w:t>
      </w:r>
    </w:p>
    <w:bookmarkEnd w:id="42"/>
    <w:bookmarkStart w:name="z50" w:id="43"/>
    <w:p>
      <w:pPr>
        <w:spacing w:after="0"/>
        <w:ind w:left="0"/>
        <w:jc w:val="both"/>
      </w:pPr>
      <w:r>
        <w:rPr>
          <w:rFonts w:ascii="Times New Roman"/>
          <w:b w:val="false"/>
          <w:i w:val="false"/>
          <w:color w:val="000000"/>
          <w:sz w:val="28"/>
        </w:rPr>
        <w:t>
      15. Национальный Банк осуществляет контроль исполнения субъектом рынка цифровых активов принятого плана мероприятий.</w:t>
      </w:r>
    </w:p>
    <w:bookmarkEnd w:id="43"/>
    <w:bookmarkStart w:name="z51" w:id="44"/>
    <w:p>
      <w:pPr>
        <w:spacing w:after="0"/>
        <w:ind w:left="0"/>
        <w:jc w:val="both"/>
      </w:pPr>
      <w:r>
        <w:rPr>
          <w:rFonts w:ascii="Times New Roman"/>
          <w:b w:val="false"/>
          <w:i w:val="false"/>
          <w:color w:val="000000"/>
          <w:sz w:val="28"/>
        </w:rPr>
        <w:t>
      Субъект рынка цифровых активов письменно уведомляет Национальный Банк об исполнении мероприятий, указанных в плане мероприятий, не позднее 15 (пятнадцати) рабочих дней после даты их исполнения.</w:t>
      </w:r>
    </w:p>
    <w:bookmarkEnd w:id="44"/>
    <w:bookmarkStart w:name="z52" w:id="45"/>
    <w:p>
      <w:pPr>
        <w:spacing w:after="0"/>
        <w:ind w:left="0"/>
        <w:jc w:val="both"/>
      </w:pPr>
      <w:r>
        <w:rPr>
          <w:rFonts w:ascii="Times New Roman"/>
          <w:b w:val="false"/>
          <w:i w:val="false"/>
          <w:color w:val="000000"/>
          <w:sz w:val="28"/>
        </w:rPr>
        <w:t>
      16. Письменное предписание доводится до сведения руководителя субъекта рынка цифровых активов.</w:t>
      </w:r>
    </w:p>
    <w:bookmarkEnd w:id="45"/>
    <w:bookmarkStart w:name="z53" w:id="46"/>
    <w:p>
      <w:pPr>
        <w:spacing w:after="0"/>
        <w:ind w:left="0"/>
        <w:jc w:val="both"/>
      </w:pPr>
      <w:r>
        <w:rPr>
          <w:rFonts w:ascii="Times New Roman"/>
          <w:b w:val="false"/>
          <w:i w:val="false"/>
          <w:color w:val="000000"/>
          <w:sz w:val="28"/>
        </w:rPr>
        <w:t>
      17. Руководитель субъекта рынка цифровых активов в течение 5 (пяти) календарных дней со дня получения письменного предписания ставит в известность всех членов исполнительного органа субъекта рынка цифровых активов о вынесении письменного предписания.</w:t>
      </w:r>
    </w:p>
    <w:bookmarkEnd w:id="46"/>
    <w:bookmarkStart w:name="z54" w:id="47"/>
    <w:p>
      <w:pPr>
        <w:spacing w:after="0"/>
        <w:ind w:left="0"/>
        <w:jc w:val="both"/>
      </w:pPr>
      <w:r>
        <w:rPr>
          <w:rFonts w:ascii="Times New Roman"/>
          <w:b w:val="false"/>
          <w:i w:val="false"/>
          <w:color w:val="000000"/>
          <w:sz w:val="28"/>
        </w:rPr>
        <w:t>
      18. В случае отсутствия возможности устранения нарушений и (или) причин, а также условий, способствовавших их совершению, в сроки, установленные в письменном предписании и (или) плане мероприятий, по независящим от субъекта рынка цифровых активов причинам, субъект рынка цифровых активов направляет письмо в Национальный Банк с описанием причин и предлагаемых сроков устранения нарушений и (или) причин, а также условий, способствовавших их совершению, и (или) изменений в план мероприятий с указанием предлагаемых сроков исполнения запланированных мероприятий за 20 (двадцать) рабочих дней до наступления сроков, установленных в письменном предписании и (или) в плане мероприятий.</w:t>
      </w:r>
    </w:p>
    <w:bookmarkEnd w:id="47"/>
    <w:bookmarkStart w:name="z55" w:id="48"/>
    <w:p>
      <w:pPr>
        <w:spacing w:after="0"/>
        <w:ind w:left="0"/>
        <w:jc w:val="both"/>
      </w:pPr>
      <w:r>
        <w:rPr>
          <w:rFonts w:ascii="Times New Roman"/>
          <w:b w:val="false"/>
          <w:i w:val="false"/>
          <w:color w:val="000000"/>
          <w:sz w:val="28"/>
        </w:rPr>
        <w:t>
      Если срок, установленный частью первой настоящего пункта, составляет менее 20 (двадцати) рабочих дней с даты направления письменного предписания, субъект рынка цифровых активов направляет письмо в Национальный Банк с описанием причин и предлагаемых сроков устранения нарушений и (или) причин, а также условий, способствовавших их совершению до наступления срока, установленного в письменном предписании.</w:t>
      </w:r>
    </w:p>
    <w:bookmarkEnd w:id="48"/>
    <w:bookmarkStart w:name="z56" w:id="49"/>
    <w:p>
      <w:pPr>
        <w:spacing w:after="0"/>
        <w:ind w:left="0"/>
        <w:jc w:val="both"/>
      </w:pPr>
      <w:r>
        <w:rPr>
          <w:rFonts w:ascii="Times New Roman"/>
          <w:b w:val="false"/>
          <w:i w:val="false"/>
          <w:color w:val="000000"/>
          <w:sz w:val="28"/>
        </w:rPr>
        <w:t>
      По результатам рассмотрения письма субъекта рынка цифровых активов Национальный Банк в течение 5 (пяти) рабочих дней принимает решение о согласии либо несогласии со сроками, указанными в письме субъекта рынка цифровых активов, либо определяет иные разумные сроки и направляет изменения в письменное предписание и (или) сообщает о согласии с установленными в плане мероприятий сроками или об установлении иных разумных сроков в плане мероприятий или сообщает о несогласии изменить сроки, установленные в письменном предписании и (или) плане мероприятий.</w:t>
      </w:r>
    </w:p>
    <w:bookmarkEnd w:id="49"/>
    <w:bookmarkStart w:name="z57" w:id="50"/>
    <w:p>
      <w:pPr>
        <w:spacing w:after="0"/>
        <w:ind w:left="0"/>
        <w:jc w:val="left"/>
      </w:pPr>
      <w:r>
        <w:rPr>
          <w:rFonts w:ascii="Times New Roman"/>
          <w:b/>
          <w:i w:val="false"/>
          <w:color w:val="000000"/>
        </w:rPr>
        <w:t xml:space="preserve"> Глава 3. Вынесение письменного предупреждения</w:t>
      </w:r>
    </w:p>
    <w:bookmarkEnd w:id="50"/>
    <w:bookmarkStart w:name="z58" w:id="51"/>
    <w:p>
      <w:pPr>
        <w:spacing w:after="0"/>
        <w:ind w:left="0"/>
        <w:jc w:val="both"/>
      </w:pPr>
      <w:r>
        <w:rPr>
          <w:rFonts w:ascii="Times New Roman"/>
          <w:b w:val="false"/>
          <w:i w:val="false"/>
          <w:color w:val="000000"/>
          <w:sz w:val="28"/>
        </w:rPr>
        <w:t>
      19. Письменное предупреждение является уведомлением Национального Банка о возможности применения к субъекту рынка цифровых активов санкции в случае выявления Национальным Банком в течение 1 (одного) года после вынесения данного предупреждения аналогичного нарушения норм законодательства Республики Казахстан.</w:t>
      </w:r>
    </w:p>
    <w:bookmarkEnd w:id="51"/>
    <w:bookmarkStart w:name="z59" w:id="52"/>
    <w:p>
      <w:pPr>
        <w:spacing w:after="0"/>
        <w:ind w:left="0"/>
        <w:jc w:val="both"/>
      </w:pPr>
      <w:r>
        <w:rPr>
          <w:rFonts w:ascii="Times New Roman"/>
          <w:b w:val="false"/>
          <w:i w:val="false"/>
          <w:color w:val="000000"/>
          <w:sz w:val="28"/>
        </w:rPr>
        <w:t>
      20. Письменное предупреждение доводится до сведения руководителя субъекта рынка цифровых активов.</w:t>
      </w:r>
    </w:p>
    <w:bookmarkEnd w:id="52"/>
    <w:bookmarkStart w:name="z60" w:id="53"/>
    <w:p>
      <w:pPr>
        <w:spacing w:after="0"/>
        <w:ind w:left="0"/>
        <w:jc w:val="both"/>
      </w:pPr>
      <w:r>
        <w:rPr>
          <w:rFonts w:ascii="Times New Roman"/>
          <w:b w:val="false"/>
          <w:i w:val="false"/>
          <w:color w:val="000000"/>
          <w:sz w:val="28"/>
        </w:rPr>
        <w:t>
      21. Руководитель субъекта рынка цифровых активов в течение 5 (пяти) календарных дней со дня получения письменного предупреждения ставит в известность всех членов исполнительного органа субъекта рынка цифровых активов о вынесении письменного предупреждения.</w:t>
      </w:r>
    </w:p>
    <w:bookmarkEnd w:id="53"/>
    <w:bookmarkStart w:name="z61" w:id="54"/>
    <w:p>
      <w:pPr>
        <w:spacing w:after="0"/>
        <w:ind w:left="0"/>
        <w:jc w:val="left"/>
      </w:pPr>
      <w:r>
        <w:rPr>
          <w:rFonts w:ascii="Times New Roman"/>
          <w:b/>
          <w:i w:val="false"/>
          <w:color w:val="000000"/>
        </w:rPr>
        <w:t xml:space="preserve"> Глава 4. Составление письменного соглашения</w:t>
      </w:r>
    </w:p>
    <w:bookmarkEnd w:id="54"/>
    <w:bookmarkStart w:name="z62" w:id="55"/>
    <w:p>
      <w:pPr>
        <w:spacing w:after="0"/>
        <w:ind w:left="0"/>
        <w:jc w:val="both"/>
      </w:pPr>
      <w:r>
        <w:rPr>
          <w:rFonts w:ascii="Times New Roman"/>
          <w:b w:val="false"/>
          <w:i w:val="false"/>
          <w:color w:val="000000"/>
          <w:sz w:val="28"/>
        </w:rPr>
        <w:t>
      22. Национальный Банк заключает с субъектом рынка цифровых активов письменное соглашение о необходимости устранения выявленных нарушений и (или) причин, а также условий, способствовавших их совершению, и утверждении перечня мер по устранению этих нарушений и (или) причин, а также условий, способствовавших их совершению, с указанием сроков их устранения и (или) перечня ограничений, которые на себя принимает субъект рынка цифровых активов до устранения выявленных нарушений и (или) причин, а также условий, способствовавших их совершению.</w:t>
      </w:r>
    </w:p>
    <w:bookmarkEnd w:id="55"/>
    <w:bookmarkStart w:name="z63" w:id="56"/>
    <w:p>
      <w:pPr>
        <w:spacing w:after="0"/>
        <w:ind w:left="0"/>
        <w:jc w:val="both"/>
      </w:pPr>
      <w:r>
        <w:rPr>
          <w:rFonts w:ascii="Times New Roman"/>
          <w:b w:val="false"/>
          <w:i w:val="false"/>
          <w:color w:val="000000"/>
          <w:sz w:val="28"/>
        </w:rPr>
        <w:t>
      Письменное соглашение заключается с руководителем субъекта рынка цифровых активов или лицами, их замещающими.</w:t>
      </w:r>
    </w:p>
    <w:bookmarkEnd w:id="56"/>
    <w:bookmarkStart w:name="z64" w:id="57"/>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субъекта рынка цифровых активов.</w:t>
      </w:r>
    </w:p>
    <w:bookmarkEnd w:id="57"/>
    <w:bookmarkStart w:name="z65" w:id="58"/>
    <w:p>
      <w:pPr>
        <w:spacing w:after="0"/>
        <w:ind w:left="0"/>
        <w:jc w:val="both"/>
      </w:pPr>
      <w:r>
        <w:rPr>
          <w:rFonts w:ascii="Times New Roman"/>
          <w:b w:val="false"/>
          <w:i w:val="false"/>
          <w:color w:val="000000"/>
          <w:sz w:val="28"/>
        </w:rPr>
        <w:t>
      23. В письменном соглашении указывается перечень мер по устранению выявленных нарушений и (или) причин, а также условий, способствовавших их совершению, и сроки их исполнения и (или) перечень обязательств, которые на себя принимает субъект рынка цифровых активов. Подписав письменное соглашение, субъект рынка цифровых активов принимает на себя обязательства по выполнению его условий.</w:t>
      </w:r>
    </w:p>
    <w:bookmarkEnd w:id="58"/>
    <w:bookmarkStart w:name="z66" w:id="59"/>
    <w:p>
      <w:pPr>
        <w:spacing w:after="0"/>
        <w:ind w:left="0"/>
        <w:jc w:val="both"/>
      </w:pPr>
      <w:r>
        <w:rPr>
          <w:rFonts w:ascii="Times New Roman"/>
          <w:b w:val="false"/>
          <w:i w:val="false"/>
          <w:color w:val="000000"/>
          <w:sz w:val="28"/>
        </w:rPr>
        <w:t>
      24. В случае отсутствия возможности устранения нарушений и (или) причин, а также условий, способствовавших их совершению, в сроки, установленные в письменном соглашении, по независящим от субъекта рынка цифровых активов причинам, субъект рынка цифровых активов направляет письмо в Национальный Банк с описанием причин и предлагаемых сроков устранения нарушений и (или) причин, а также условий, способствовавших их совершению, за 20 (двадцать) рабочих дней до наступления сроков, установленных в письменном соглашении.</w:t>
      </w:r>
    </w:p>
    <w:bookmarkEnd w:id="59"/>
    <w:bookmarkStart w:name="z67" w:id="60"/>
    <w:p>
      <w:pPr>
        <w:spacing w:after="0"/>
        <w:ind w:left="0"/>
        <w:jc w:val="both"/>
      </w:pPr>
      <w:r>
        <w:rPr>
          <w:rFonts w:ascii="Times New Roman"/>
          <w:b w:val="false"/>
          <w:i w:val="false"/>
          <w:color w:val="000000"/>
          <w:sz w:val="28"/>
        </w:rPr>
        <w:t>
      Если срок, установленный частью первой настоящего пункта, составляет менее 20 (двадцати) рабочих дней с даты заключения письменного соглашения, субъект рынка цифровых активов направляет письмо в Национальный Банк с описанием причин и предлагаемых сроков устранения нарушений и (или) причин, а также условий, способствовавших их совершению, до наступления сроков, установленных в письменном соглашении.</w:t>
      </w:r>
    </w:p>
    <w:bookmarkEnd w:id="60"/>
    <w:bookmarkStart w:name="z68" w:id="61"/>
    <w:p>
      <w:pPr>
        <w:spacing w:after="0"/>
        <w:ind w:left="0"/>
        <w:jc w:val="both"/>
      </w:pPr>
      <w:r>
        <w:rPr>
          <w:rFonts w:ascii="Times New Roman"/>
          <w:b w:val="false"/>
          <w:i w:val="false"/>
          <w:color w:val="000000"/>
          <w:sz w:val="28"/>
        </w:rPr>
        <w:t>
      По результатам рассмотрения письма субъекта рынка цифровых активов Национальный Банк в течение 5 (пяти) рабочих дней принимает решение о согласии либо несогласии со сроками, указанными в письме субъекта рынка цифровых активов, либо определяет иные разумные сроки и заключает с субъектом рынка цифровых активов дополнительное письменное соглашение с указанием новых сроков устранения нарушений и (или) причин, а также условий, способствовавших их совершению, или сообщает о несогласии изменить сроки, установленные в письменном соглашении.</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