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9c13" w14:textId="3369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19 декабря 2019 года № 14 "Об утверждении статистических форм общегосударственных статистических наблюдений по статистике уровня жизни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30 апреля 2026 года № 10. Зарегистрирован в Министерстве юстиции Республики Казахстан 30 апреля 2026 года № 38609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19 декабря 2019 года № 14 "Об утверждении статистических форм общегосударственных статистических наблюдений по статистике уровня жизни и инструкций по их заполнению" (зарегистрирован в Реестре государственной регистрации нормативных правовых актов за № 19764)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"4. Титульный лист Дневника заполняется интервьюером.</w:t>
      </w:r>
    </w:p>
    <w:bookmarkEnd w:id="3"/>
    <w:bookmarkStart w:name="z10" w:id="4"/>
    <w:p>
      <w:pPr>
        <w:spacing w:after="0"/>
        <w:ind w:left="0"/>
        <w:jc w:val="both"/>
      </w:pPr>
      <w:r>
        <w:rPr>
          <w:rFonts w:ascii="Times New Roman"/>
          <w:b w:val="false"/>
          <w:i w:val="false"/>
          <w:color w:val="000000"/>
          <w:sz w:val="28"/>
        </w:rPr>
        <w:t>
      В пункте 1. "Наименование территории (населенного пункта)" указывается наименование области (города), района (города) и сельского населенного пункта. Пункты со 2 по 6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w:t>
      </w:r>
    </w:p>
    <w:bookmarkEnd w:id="4"/>
    <w:bookmarkStart w:name="z11" w:id="5"/>
    <w:p>
      <w:pPr>
        <w:spacing w:after="0"/>
        <w:ind w:left="0"/>
        <w:jc w:val="both"/>
      </w:pPr>
      <w:r>
        <w:rPr>
          <w:rFonts w:ascii="Times New Roman"/>
          <w:b w:val="false"/>
          <w:i w:val="false"/>
          <w:color w:val="000000"/>
          <w:sz w:val="28"/>
        </w:rPr>
        <w:t>
      Номер члена домашнего хозяйства проставляется из статистической формы общегосударственного статистического наблюдения "Контрольная карточка состава домашнего хозяйства" (индекс D 008, периодичность годовая (с ежеквартальным уточнением), сохраняя нумерацию членов домашнего хозяйства. Лица, временно прибывшие для проживания в домашнее хозяйство, в опрос не включаются.</w:t>
      </w:r>
    </w:p>
    <w:bookmarkEnd w:id="5"/>
    <w:bookmarkStart w:name="z12" w:id="6"/>
    <w:p>
      <w:pPr>
        <w:spacing w:after="0"/>
        <w:ind w:left="0"/>
        <w:jc w:val="both"/>
      </w:pPr>
      <w:r>
        <w:rPr>
          <w:rFonts w:ascii="Times New Roman"/>
          <w:b w:val="false"/>
          <w:i w:val="false"/>
          <w:color w:val="000000"/>
          <w:sz w:val="28"/>
        </w:rPr>
        <w:t>
      В Дневнике 24 часа суточного времени подразделены на 144 интервала по 10 минут, здесь указывается фактическое время начала и завершения действия.";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"4. Титульный лист Дневника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Пункты 2, 3, 4 и 5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приложения 8 к указанному приказу исключить;</w:t>
      </w:r>
    </w:p>
    <w:bookmarkStart w:name="z19"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к указанному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 w:id="10"/>
    <w:p>
      <w:pPr>
        <w:spacing w:after="0"/>
        <w:ind w:left="0"/>
        <w:jc w:val="both"/>
      </w:pPr>
      <w:r>
        <w:rPr>
          <w:rFonts w:ascii="Times New Roman"/>
          <w:b w:val="false"/>
          <w:i w:val="false"/>
          <w:color w:val="000000"/>
          <w:sz w:val="28"/>
        </w:rPr>
        <w:t>
      "4. Титульный лист Карточки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 (далее – ответственный сотрудник Бюро).";</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4" w:id="11"/>
    <w:p>
      <w:pPr>
        <w:spacing w:after="0"/>
        <w:ind w:left="0"/>
        <w:jc w:val="both"/>
      </w:pPr>
      <w:r>
        <w:rPr>
          <w:rFonts w:ascii="Times New Roman"/>
          <w:b w:val="false"/>
          <w:i w:val="false"/>
          <w:color w:val="000000"/>
          <w:sz w:val="28"/>
        </w:rPr>
        <w:t>
      "18. Карточка заполняется интервьюером в двух экземплярах. Один экземпляр передается ответственному сотруднику Бюро, второй остается у интервьюера. В него вносятся все изменения о составе домашнего хозяйства (если они были) во время проведения квартальных интервью.".</w:t>
      </w:r>
    </w:p>
    <w:bookmarkEnd w:id="11"/>
    <w:bookmarkStart w:name="z25" w:id="1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12"/>
    <w:bookmarkStart w:name="z26"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7" w:id="1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14"/>
    <w:bookmarkStart w:name="z28" w:id="15"/>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15"/>
    <w:bookmarkStart w:name="z29" w:id="1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16"/>
    <w:bookmarkStart w:name="z30"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Бюро национальной статистики </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 и</w:t>
            </w:r>
          </w:p>
          <w:p>
            <w:pPr>
              <w:spacing w:after="0"/>
              <w:ind w:left="0"/>
              <w:jc w:val="left"/>
            </w:pPr>
          </w:p>
          <w:p>
            <w:pPr>
              <w:spacing w:after="20"/>
              <w:ind w:left="20"/>
              <w:jc w:val="both"/>
            </w:pPr>
            <w:r>
              <w:rPr>
                <w:rFonts w:ascii="Times New Roman"/>
                <w:b w:val="false"/>
                <w:i/>
                <w:color w:val="000000"/>
                <w:sz w:val="20"/>
              </w:rPr>
              <w:t xml:space="preserve"> 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2026 года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4-қосымша</w:t>
            </w:r>
          </w:p>
        </w:tc>
      </w:tr>
    </w:tbl>
    <w:bookmarkStart w:name="z35" w:id="18"/>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w:t>
      </w:r>
    </w:p>
    <w:bookmarkEnd w:id="18"/>
    <w:bookmarkStart w:name="z36" w:id="1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"Качество жизни населения" (индекс D 002, периодичность один раз в год)</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1. Осы нұсқаулық "Халықтың тұрмыс сапасы" (индексі D 002,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1-10 наурыз аралығындағы кезең байқау кезеңі болып табылады. Статистикалық нысанды респондент өз бетінше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және одан жоғары жастағы үй шаруашылығының мүшесі респондент ретінде танылады.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Титулдық бетте "Аумақтың (елді мекеннің) атауы" 1-тармағында интервьюер облыстың (қаланың), ауданның (қаланың) және ауылдық елді мекеннің атауын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2-тармақтан бастап 5-тармақтар Қазақстан Республикасының Стратегиялық жоспарлау және реформалар агенттігі Ұлттық статистика бюросы аумақтық бөлімшесінің байқау жүргізу кезінде интервьюердің жұмысына бақылауды жүзеге асыратын жауапты қызметкерлері интервьюерлерге ұсынған зерттелетін үй шаруашылықтарының тізімдерінде көрсетілген деректемелерге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нысанды толтыруды аяқтағаннан кейін респондент титулдық бетте көрсетілген оны толтыру күні мен ұзақтығын белгілейді.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Статистикалық нысанның бірінші бөлімінің сұрақтарына жауап беру кезінде респондент қанағаттанушылық шәкілін пайдаланады, ондағы 1 (бір) толық қанағаттанбаушылықты, 10 (он) – толық қанағаттанушылықты, бұл ретте бірден үшке дейін – қанағаттанбаушылықты, төрттен жетіге дейін – ішінара қанағаттанушылықты, сегізден онға дейін – толық қанағаттанушылықты білдіреді.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Толтыру кезінде респондент өзінің үй шаруашылығының мүшелерін қоса алғанда басқа адамдардың көмегіне немесе пікіріне сүйенбей, ұсынылатын сұрақтардың мәнін талдамай және терең үңілместен жеке әсерлерін (сезімдерін) басшылыққа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Респонденттерге қиындық тудыратын сұрақтарға жауап берген кезде "Қолданылмайды" немесе "Жауап беруге қиналамын" жауап нұсқаларын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Белгілі бір жас санаттарына жатпайтын сұрақтарға, мысалы, балалар отбасының (үй шаруашылығының) экономикалық жағдайын бағалай алмайды, бұл жағдайда "Қолданылмайды" немесе "Жауап беруге қиналамын" жауап нұсқасын таңдау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1-бөлімдегі 6-сұрақтың 6.3 жауабын сұраққа жауап нұсқасын сауалнама сұрау кезінде әріптестері бар респонденттер таңдайды. Әріптестері жоқ (балалар, зейнеткерлер, жұмыссыздар және басқалар) респонденттер келесі сұраққа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1-бөліктегі 10-сұрақта тұрғын үйдегі сыртқы шудың деңгейіне, атап айтқанда көршілерден немесе көшеден келетін шудың деңгейіне қанағаттанушылық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1-бөліктің 17-сұрағында 17.1. "мектепке дейінгі" жауап нұсқасы баланы мемлекеттік балабақшаға орналастыруға мүмкіндікті, қолжетімділікті; 17.2. "жалпы орта (мектептік)" жауап нұсқасы мемлекеттік мектепте оқыту қол жетімді ме дегенді; 17.3. "орта кәсіптік (арнайы)"; 17.4 "жоғары және жоғары оқу орнынан кейінгі" жауап нұсқалары грантта, яғни тегін негізде оқуды білдіреді.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2-бөліктің 1-сұрағына жауап берген кезде 4-6 жауап нұсқасын белгілеген респонденттер 2-бөліктің 4-сұрағына көшеді.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2-бөліктің 2, 3-сұрақтарына 2-бөліктің 1-сұрағына жауап берген кезде 1-3-жауап нұсқасын белгілеген респонденттер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2-бөліктің 7 - 14-сұрақтарындағы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2-бөліктің 7 – 14 - 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Үй шаруашылықтары азық-түліктерді алу мүмкіндігін шектеуге әкелетін, жемістер, көкөністер, бұршақ тұқымдастар, дәнді және басқа да дақылдарды өсіруге кедергі келтіретін табиғи, ауа райы және басқа да жағдайлардан (сел, су тасқыны, жер сілкіну, құрғақшылық, үсік шалу және тағы басқалар сияқты) оларда жоғарыда көрсетілген көздерден тамақ өнімдерінің жеткілікті болмай қалуы мүмкін екендігіне алаңдаушылық білдіруі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7-сұрақтан бастап 14-сұрақты қоса әрбір қойылған сұрақтан соң: "соңғы 12 ай ішінде осындай жағдайлар болған уақыт болды ма немесе 12 ай ішінде ең болмағанда бір рет осындай жағдайлар болды ма" деп респонденттердің есіне салу және сұрақтарды оқып беру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Респондент 7-сұрақтан бастап 14-сұрақты қоса біреуіне немесе барлығына жауап беруден бас тартуы мүмкін және тиісінше "жауаптан бас тарту" жауап нұсқасы белгіленеді. 7-сұрақтан бастап 14-сұрақтарды қоса кез келген біреуіне "жауаптан бас тарту" таңдалған жағдайда 7-сұрақтан бастап 14-сұрақты қоса барлық сұрақ бойынша деректер ескерілмейді.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7-сұрақтан бастап 14-сұрақты қоса сұрақтарда бір ғана жауап нұсқасы (жауап "иә", "жоқ", "жауап беруге қиналамын" немесе "жауаптан бас тарту" болуы мүмкін) таңдалады. Жауаптың "иә" және "жоқ" деген 2 нұсқасы қатар 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3-бөліктің 1-сұрағында сұрақтың барлық тармақшасы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3-бөлімнің 1-сұрағына жауап берген кезде "иә" деген жауап нұсқасы үй шаруашылығы қаржылық қиындықтарға байланысты шығыстарды жаба алмаған жағдайда ғана белгіленеді. Төлем ұмытшақтыққа байланысты кешіктірілген кезде (бірақ қажетті ақша сомасы болған) "жоқ" деген жауап нұсқасы белгіленеді. Қарыз есебінен төлем жүргізген кезде (банкте, туыстарында немесе достарында) үй шаруашылығы өз ресурстарынан төлеген деп есептеу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3-бөлімнің 2-сұрағына жауап беру кезінде үй шаруашылығының оны қолдауға деген қалауына немесе қаламауына қарамастан, үйде жылуды жеткілікті деңгейде ұстап тұру үшін үй шаруашылығының қаржылық төлем қабілеттілігі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3-бөлімнің 3-сұрағына жауап берген кезде, жаңа немесе пайдаланылған жиһазды сән-салтанатқа байланысты ауыстыру ниетінде емес, егер ол тозған, бүлінген, сынған немесе жарамсыз болған жағдайда ауыстыру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3-бөлімнің 4-сұрағына жауап берген кезде ақуыздың қосымша көздеріне мыналар жатады: бұршақ (бұршақ, жасымық, бұршақ, бұршақ, соя және басқалар); жаңғақтар (жаңғақ, бадам, кешью және басқалар). Сұрақ үй шаруашылығының әр күн сайын ет, тауық еті, балық немесе балама вегетариандық тағамды жеуге болатындығын анықтайды. Мұнда диеталар жағдайлары алынып тасталады.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6-бөлімнің 3-сұрағына жауап берген кезде "үйден тыс" екінші үй, саяжай және туыстарында немесе достарында болуы деп түсіну керек. Егер сіздің үй шаруашылығыңызда уақыт болмаса, бірақ сапарға шығуға мүмкіндігі болса, онда "иә" деген жауап белгіленеді. Егер демалысқа қажетті қаржы қаражаты қарыздар есебінен (банкте, туыстарында немесе достарында) қамтамасыз етілсе, бұл жағдайда ол да өз қаражаты есебінен төлеуге теңестіріледі. Бұл жағдайда зерттелетін үй шаруашылығының барлық мүшелері демалысқа бірге, бір уақытта баруы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үй шаруашылығының бір мүшесі қаржылық себептер бойынша демалысқа шыға алмаса, онда "жоқ" деген жауап нұсқасы белгіленеді. Мысалы, ата-аналар балаларды жазғы лагерьге жібере алатын, бірақ өздері демалысқа шығуға мүмкіндігі жоқ немесе ересек балалар демалысқа шыға алатын жағдайларда, бірақ басқа отбасы мүшелері бұған қол жеткізе алмайтын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3-бөлімнің 10-сұрағына жауап берген кезде, тозған киім мен аяқ киімді сәннен шығуына байланысты емес ауыстыруды қарастыру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3-бөлімнің 11-сұрағына жауап бергенде, өзіңізге белгілі бір соманы жұмсау дегеніміз ақшаны еркін жұмсау, өзіңіз үшін бірдеңе сатып алу немесе жасау, мысалы, киноға, шаштаразға бару, шағындау зат сатып алу, журнал, кітап, торт, жазда балмұздақ немесе басқа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3-бөлімнің 12-сұрағына жауап берген кезде ойын-сауық іс-шараларына спорт, кино, концерттер және үйден тыс жерде өтетін және қосымша шығындарға әкелетін басқа да іс-шаралар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4-бөліктің 1-5-сұрақтарына үй шаруашылығының құрамында он сегіз жасқа (кәмелетке) толмаған балалары бар респонденттер балаларға қатысты тапшылықтар бойынша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4-бөліктің 2,3-сұрақтарына 4-бөліктің 1-сұрағына жауап берген кезде 1-жауаптың нұсқасын белгілеген респонденттер жауап береді.</w:t>
            </w:r>
          </w:p>
          <w:p>
            <w:pPr>
              <w:spacing w:after="20"/>
              <w:ind w:left="20"/>
              <w:jc w:val="both"/>
            </w:pPr>
            <w:r>
              <w:rPr>
                <w:rFonts w:ascii="Times New Roman"/>
                <w:b w:val="false"/>
                <w:i w:val="false"/>
                <w:color w:val="000000"/>
                <w:sz w:val="20"/>
              </w:rPr>
              <w:t>
4-бөлімнің 4-сұрағына жауап берген кезде, егер үй шаруашылығында бір баладан көп болса және тіпті бір балада 4.1-4.14-тармақтарда аталған тапшылықтар болса, үй шаруашылығы қаржылық себептер бойынша мүмкіндігі болмағандықтан, 2-жауап нұсқасы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1"/>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Периодом наблюдения является период с 1 по 10 марта. Статистическая форма заполняется респондентом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Респондентом выступает член домашнего хозяйства в возрасте от 15 лет и старше.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Пункты со 2 по 5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окончании заполнения статистической формы респондент отмечает дату и продолжительность ее заполнения, указанные в титульном листе.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домашнего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вопросы, вызывающие затруднения, респондент выбирает варианты ответа "Не применимо" или "Затрудняюсь ответить".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ответа 6.3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В вопросе 10 части 1 оценивается удовлетворенность уровнем внешнего шума в жилье, а именно шума от соседей или с улицы.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вопросе 17 части 1 под вариантом ответа: 17.1. "дошкольного" подразумевается возможность, доступность определить ребенка в государственный детский сад; 17.2. "общего среднего (школьного)" доступно ли обучение в государственной школе; 17.3. "среднего профессионального (специального)"; 17.4. "высшего и послевузовского" обучения по гранту, то есть на бесплатной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Респонденты отметившие вариант ответа 4-6 при ответе на вопрос 1 части 2, переходят к вопросу 4 части 2.</w:t>
            </w:r>
          </w:p>
          <w:p>
            <w:pPr>
              <w:spacing w:after="20"/>
              <w:ind w:left="20"/>
              <w:jc w:val="both"/>
            </w:pPr>
            <w:r>
              <w:rPr>
                <w:rFonts w:ascii="Times New Roman"/>
                <w:b w:val="false"/>
                <w:i w:val="false"/>
                <w:color w:val="000000"/>
                <w:sz w:val="20"/>
              </w:rPr>
              <w:t>
</w:t>
            </w:r>
            <w:r>
              <w:rPr>
                <w:rFonts w:ascii="Times New Roman"/>
                <w:b w:val="false"/>
                <w:i w:val="false"/>
                <w:color w:val="000000"/>
                <w:sz w:val="20"/>
              </w:rPr>
              <w:t>На вопросы 2, 3 части 2 отвечают респонденты, отметившие вариант ответа 1-3 при ответе на вопрос 1 части 2.</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вопросах 7 - 14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каждого вопроса, начиная с 7 по 14,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Респондент может отказаться отвечать на один, либо на все вопросы с 7 по 14 и соответственно при этом отмечается вариант ответа "отказ от ответа". В случае выбора "отказ от ответа" на любой один из вопросов с 7 по 14, данные по всем вопросам с 7 по 14 не будут учитываться.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вопросах с 7 по 14 выбирается только один вариант ответа (ответ может быть "да", "нет", "затрудняюсь ответить" либо "отказ от ответа"). Одновременно 2 варианта ответа "да" и "нет" не принимается.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вопросе 1 части 3 отмечаются все подпункты вопроса.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 1 части 3 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произведении платежа за счет займа (в банке, у родственников или друзей), необходимо считать, что домашнее хозяйство оплатило из собственных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 2 части 3 учитывается финансовая платежеспособность домашнего хозяйства поддерживать тепло в доме на достаточном уровне, независимо от желания или нежелания домашнего хозяйства его поддерживать.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 3 части 3 учитывается замена новой или подержанной мебели если она изношена, повреждена, сломана или не пригодна к применению, а не намерение заменить ее из-за роскоши.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 домашнее хозяйство позволить себе есть мясо, курицу, рыбу или эквивалентное вегетарианское блюдо каждый второй день. Здесь исключаются случаи диет.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 6 части 3 под "вне дома" следует понимать, второй дом, дачу и нахождение у родственников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один член домашнего хозяйства не может 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позволить себе отпуск, но другие члены семьи не могут этого себе позволить.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 10 части 3 следует рассматривать замену изношенной одежды и обуви, а не вышедшей из моды.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 11 части 3 потратить определенную сумму на себя означает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ответе на вопрос 12 части 3 к развлекательным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На вопросы 1-5 части 4 отвечают респонденты у которых в составе домашнего хозяйства имеются дети не достигшие восемнадцатилетнего возраста (совершеннолетия), касательно лишения в отношении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вопросы 2,3 части 4 отвечают респонденты отметившие вариант ответа 1 при ответе на вопрос 1 части 4.</w:t>
            </w:r>
          </w:p>
          <w:p>
            <w:pPr>
              <w:spacing w:after="20"/>
              <w:ind w:left="20"/>
              <w:jc w:val="both"/>
            </w:pPr>
            <w:r>
              <w:rPr>
                <w:rFonts w:ascii="Times New Roman"/>
                <w:b w:val="false"/>
                <w:i w:val="false"/>
                <w:color w:val="000000"/>
                <w:sz w:val="20"/>
              </w:rPr>
              <w:t>
При ответе на вопрос 4 части 4 если в домашнем хозяйстве более одного ребенка и даже если у одного ребенка имеются лишения, перечисленные в пунктах 4.1-4.14 из-за того, что домашнее хозяйство не может себе позволить по финансовым причинам, отмечается вариант ответа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