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3405" w14:textId="5c03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признания действий на рынке цифровых финансовых активов как совершенных в целях манипулирования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апреля 2026 года № 88. Зарегистрировано в Министерстве юстиции Республики Казахстан 30 апреля 2026 года № 38596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 мая 2026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 статьи 4 Закона Республики Казахстан "О цифровых активах в Республике Казахстан"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условия признания действий на рынке цифровых финансовых активов как совершенных в целях манипулирования.</w:t>
      </w:r>
    </w:p>
    <w:bookmarkEnd w:id="1"/>
    <w:bookmarkStart w:name="z7" w:id="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с 1 мая 2026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по регулированию 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 xml:space="preserve">Национальный Банк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рыка</w:t>
            </w:r>
            <w:r>
              <w:br/>
            </w:r>
            <w:r>
              <w:rPr>
                <w:rFonts w:ascii="Times New Roman"/>
                <w:b w:val="false"/>
                <w:i w:val="false"/>
                <w:color w:val="000000"/>
                <w:sz w:val="20"/>
              </w:rPr>
              <w:t>от 28 апреля 2026 года № 88</w:t>
            </w:r>
          </w:p>
        </w:tc>
      </w:tr>
    </w:tbl>
    <w:bookmarkStart w:name="z16" w:id="9"/>
    <w:p>
      <w:pPr>
        <w:spacing w:after="0"/>
        <w:ind w:left="0"/>
        <w:jc w:val="left"/>
      </w:pPr>
      <w:r>
        <w:rPr>
          <w:rFonts w:ascii="Times New Roman"/>
          <w:b/>
          <w:i w:val="false"/>
          <w:color w:val="000000"/>
        </w:rPr>
        <w:t xml:space="preserve"> Правила и условия признания действий на рынке цифровых финансовых активов как совершенных в целях манипулирования</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и условия признания действий на рынке цифровых финансовых активов как совершенных в целях манипулирования (далее – Правила) разработаны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 статьи 4 Закона Республики Казахстан "О цифровых активах в Республике Казахстан" (далее – Закон о цифровых активах).</w:t>
      </w:r>
    </w:p>
    <w:bookmarkEnd w:id="11"/>
    <w:bookmarkStart w:name="z19" w:id="12"/>
    <w:p>
      <w:pPr>
        <w:spacing w:after="0"/>
        <w:ind w:left="0"/>
        <w:jc w:val="both"/>
      </w:pPr>
      <w:r>
        <w:rPr>
          <w:rFonts w:ascii="Times New Roman"/>
          <w:b w:val="false"/>
          <w:i w:val="false"/>
          <w:color w:val="000000"/>
          <w:sz w:val="28"/>
        </w:rPr>
        <w:t xml:space="preserve">
      2. Понятия, используемые в Правилах, применяются в значениях, указанных в Законе о цифровых активах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рынке ценных бумаг".</w:t>
      </w:r>
    </w:p>
    <w:bookmarkEnd w:id="12"/>
    <w:bookmarkStart w:name="z20" w:id="13"/>
    <w:p>
      <w:pPr>
        <w:spacing w:after="0"/>
        <w:ind w:left="0"/>
        <w:jc w:val="both"/>
      </w:pPr>
      <w:r>
        <w:rPr>
          <w:rFonts w:ascii="Times New Roman"/>
          <w:b w:val="false"/>
          <w:i w:val="false"/>
          <w:color w:val="000000"/>
          <w:sz w:val="28"/>
        </w:rPr>
        <w:t>
      Для целей Правил:</w:t>
      </w:r>
    </w:p>
    <w:bookmarkEnd w:id="13"/>
    <w:bookmarkStart w:name="z21" w:id="14"/>
    <w:p>
      <w:pPr>
        <w:spacing w:after="0"/>
        <w:ind w:left="0"/>
        <w:jc w:val="both"/>
      </w:pPr>
      <w:r>
        <w:rPr>
          <w:rFonts w:ascii="Times New Roman"/>
          <w:b w:val="false"/>
          <w:i w:val="false"/>
          <w:color w:val="000000"/>
          <w:sz w:val="28"/>
        </w:rPr>
        <w:t>
      под манипулированием на рынке цифровых финансовых активов понимаются действия субъекта рынка цифровых финансовых активов и иных лиц, направленные на установление и (или) поддержание цен цифровых финансовых активов выше или ниже тех, которые установились в результате объективного соотношения предложения и спроса, на создание видимости торговли цифровым финансовым активом;</w:t>
      </w:r>
    </w:p>
    <w:bookmarkEnd w:id="14"/>
    <w:bookmarkStart w:name="z22" w:id="15"/>
    <w:p>
      <w:pPr>
        <w:spacing w:after="0"/>
        <w:ind w:left="0"/>
        <w:jc w:val="both"/>
      </w:pPr>
      <w:r>
        <w:rPr>
          <w:rFonts w:ascii="Times New Roman"/>
          <w:b w:val="false"/>
          <w:i w:val="false"/>
          <w:color w:val="000000"/>
          <w:sz w:val="28"/>
        </w:rPr>
        <w:t>
      под субъектом рынка цифровых финансовых активов понимаются операторы платформы цифровых финансовых активов, операторы торговой платформы цифровых активов, эмитенты цифровых финансовых активов.</w:t>
      </w:r>
    </w:p>
    <w:bookmarkEnd w:id="15"/>
    <w:bookmarkStart w:name="z23" w:id="16"/>
    <w:p>
      <w:pPr>
        <w:spacing w:after="0"/>
        <w:ind w:left="0"/>
        <w:jc w:val="both"/>
      </w:pPr>
      <w:r>
        <w:rPr>
          <w:rFonts w:ascii="Times New Roman"/>
          <w:b w:val="false"/>
          <w:i w:val="false"/>
          <w:color w:val="000000"/>
          <w:sz w:val="28"/>
        </w:rPr>
        <w:t>
      3. Мониторингу и анализу на предмет выявления манипулирования на рынке цифровых финансовых активов подлежат действия субъекта рынка цифровых финансовых активов и иных лиц (включая заключение сделок и объявление заявок на торговой платформе цифровых активов и (или) платформе цифровых финансовых активов, распространение информации) в отношении цифровых финансовых активов, обращающихся на платформах цифровых финансовых активов и торговых платформах цифровых активов, создание и функционирование которых регламентируется внутренними документами операторов платформы цифровых финансовых активов и (или) операторов торговой платформы цифровых активов.</w:t>
      </w:r>
    </w:p>
    <w:bookmarkEnd w:id="16"/>
    <w:bookmarkStart w:name="z24" w:id="17"/>
    <w:p>
      <w:pPr>
        <w:spacing w:after="0"/>
        <w:ind w:left="0"/>
        <w:jc w:val="left"/>
      </w:pPr>
      <w:r>
        <w:rPr>
          <w:rFonts w:ascii="Times New Roman"/>
          <w:b/>
          <w:i w:val="false"/>
          <w:color w:val="000000"/>
        </w:rPr>
        <w:t xml:space="preserve"> Глава 2. Порядок и условия признания действий на рынке цифровых финансовых активов как совершенных в целях манипулирования</w:t>
      </w:r>
    </w:p>
    <w:bookmarkEnd w:id="17"/>
    <w:bookmarkStart w:name="z25" w:id="18"/>
    <w:p>
      <w:pPr>
        <w:spacing w:after="0"/>
        <w:ind w:left="0"/>
        <w:jc w:val="both"/>
      </w:pPr>
      <w:r>
        <w:rPr>
          <w:rFonts w:ascii="Times New Roman"/>
          <w:b w:val="false"/>
          <w:i w:val="false"/>
          <w:color w:val="000000"/>
          <w:sz w:val="28"/>
        </w:rPr>
        <w:t>
      4. Мониторингу и анализу на предмет выявления действий субъекта рынка цифровых финансовых активов и иных лиц как совершенных в целях манипулирования подлежат следующие действия (с учетом положений пункта 6 Правил):</w:t>
      </w:r>
    </w:p>
    <w:bookmarkEnd w:id="18"/>
    <w:bookmarkStart w:name="z26" w:id="19"/>
    <w:p>
      <w:pPr>
        <w:spacing w:after="0"/>
        <w:ind w:left="0"/>
        <w:jc w:val="both"/>
      </w:pPr>
      <w:r>
        <w:rPr>
          <w:rFonts w:ascii="Times New Roman"/>
          <w:b w:val="false"/>
          <w:i w:val="false"/>
          <w:color w:val="000000"/>
          <w:sz w:val="28"/>
        </w:rPr>
        <w:t>
      1) заключение сделки на основании встречных заявок (заказов) на продажу и покупку цифровых финансовых активов одного выпуска, поданных одним клиентом через двух или более операторов торговой платформы цифровых активов;</w:t>
      </w:r>
    </w:p>
    <w:bookmarkEnd w:id="19"/>
    <w:bookmarkStart w:name="z27" w:id="20"/>
    <w:p>
      <w:pPr>
        <w:spacing w:after="0"/>
        <w:ind w:left="0"/>
        <w:jc w:val="both"/>
      </w:pPr>
      <w:r>
        <w:rPr>
          <w:rFonts w:ascii="Times New Roman"/>
          <w:b w:val="false"/>
          <w:i w:val="false"/>
          <w:color w:val="000000"/>
          <w:sz w:val="28"/>
        </w:rPr>
        <w:t>
      2) заключение сделки с цифровым финансовым активом, в результате которой цена, спрос, предложение или объем торгов данным цифровым финансовым активом отклонились от уровня и (или) поддерживались на уровне, отличающемся от того уровня, который сформировался бы без такой сделки;</w:t>
      </w:r>
    </w:p>
    <w:bookmarkEnd w:id="20"/>
    <w:bookmarkStart w:name="z28" w:id="21"/>
    <w:p>
      <w:pPr>
        <w:spacing w:after="0"/>
        <w:ind w:left="0"/>
        <w:jc w:val="both"/>
      </w:pPr>
      <w:r>
        <w:rPr>
          <w:rFonts w:ascii="Times New Roman"/>
          <w:b w:val="false"/>
          <w:i w:val="false"/>
          <w:color w:val="000000"/>
          <w:sz w:val="28"/>
        </w:rPr>
        <w:t>
      3) создание ложного и (или) вводящего в заблуждение представления о ликвидности цифрового финансового актива и (или) его цене путем совершения следующих действий:</w:t>
      </w:r>
    </w:p>
    <w:bookmarkEnd w:id="21"/>
    <w:bookmarkStart w:name="z29" w:id="22"/>
    <w:p>
      <w:pPr>
        <w:spacing w:after="0"/>
        <w:ind w:left="0"/>
        <w:jc w:val="both"/>
      </w:pPr>
      <w:r>
        <w:rPr>
          <w:rFonts w:ascii="Times New Roman"/>
          <w:b w:val="false"/>
          <w:i w:val="false"/>
          <w:color w:val="000000"/>
          <w:sz w:val="28"/>
        </w:rPr>
        <w:t>
      подача с последующим удалением (снятием) заявки на продажу или покупку цифрового финансового актива;</w:t>
      </w:r>
    </w:p>
    <w:bookmarkEnd w:id="22"/>
    <w:bookmarkStart w:name="z30" w:id="23"/>
    <w:p>
      <w:pPr>
        <w:spacing w:after="0"/>
        <w:ind w:left="0"/>
        <w:jc w:val="both"/>
      </w:pPr>
      <w:r>
        <w:rPr>
          <w:rFonts w:ascii="Times New Roman"/>
          <w:b w:val="false"/>
          <w:i w:val="false"/>
          <w:color w:val="000000"/>
          <w:sz w:val="28"/>
        </w:rPr>
        <w:t>
      подача необоснованного с точки зрения экономического смысла количества заявок на продажу или приобретение цифрового финансового актива;</w:t>
      </w:r>
    </w:p>
    <w:bookmarkEnd w:id="23"/>
    <w:bookmarkStart w:name="z31" w:id="24"/>
    <w:p>
      <w:pPr>
        <w:spacing w:after="0"/>
        <w:ind w:left="0"/>
        <w:jc w:val="both"/>
      </w:pPr>
      <w:r>
        <w:rPr>
          <w:rFonts w:ascii="Times New Roman"/>
          <w:b w:val="false"/>
          <w:i w:val="false"/>
          <w:color w:val="000000"/>
          <w:sz w:val="28"/>
        </w:rPr>
        <w:t>
      распространение недостоверной и (или) вводящей в заблуждение информации в отношении цифрового финансового актива;</w:t>
      </w:r>
    </w:p>
    <w:bookmarkEnd w:id="24"/>
    <w:bookmarkStart w:name="z32" w:id="25"/>
    <w:p>
      <w:pPr>
        <w:spacing w:after="0"/>
        <w:ind w:left="0"/>
        <w:jc w:val="both"/>
      </w:pPr>
      <w:r>
        <w:rPr>
          <w:rFonts w:ascii="Times New Roman"/>
          <w:b w:val="false"/>
          <w:i w:val="false"/>
          <w:color w:val="000000"/>
          <w:sz w:val="28"/>
        </w:rPr>
        <w:t>
      4) распространение физическими и (или) юридическими лицами в масс-медиа недостоверных и (или) вводящих в заблуждение сведений о цифровых финансовых активах, их эмитентах, включая информацию, представленную в рекламе;</w:t>
      </w:r>
    </w:p>
    <w:bookmarkEnd w:id="25"/>
    <w:bookmarkStart w:name="z33" w:id="26"/>
    <w:p>
      <w:pPr>
        <w:spacing w:after="0"/>
        <w:ind w:left="0"/>
        <w:jc w:val="both"/>
      </w:pPr>
      <w:r>
        <w:rPr>
          <w:rFonts w:ascii="Times New Roman"/>
          <w:b w:val="false"/>
          <w:i w:val="false"/>
          <w:color w:val="000000"/>
          <w:sz w:val="28"/>
        </w:rPr>
        <w:t>
      5) заключение оператором платформы цифровых финансовых активов сделки с цифровым финансовым активом с использованием информации о поданной либо подлежащей подаче заявке клиента данного оператора на продажу или приобретение такого цифрового финансового актива, если указанные действия обусловили изменение цены данного цифрового финансового актива до исполнения указанной заявки клиента;</w:t>
      </w:r>
    </w:p>
    <w:bookmarkEnd w:id="26"/>
    <w:bookmarkStart w:name="z34" w:id="27"/>
    <w:p>
      <w:pPr>
        <w:spacing w:after="0"/>
        <w:ind w:left="0"/>
        <w:jc w:val="both"/>
      </w:pPr>
      <w:r>
        <w:rPr>
          <w:rFonts w:ascii="Times New Roman"/>
          <w:b w:val="false"/>
          <w:i w:val="false"/>
          <w:color w:val="000000"/>
          <w:sz w:val="28"/>
        </w:rPr>
        <w:t>
      6) заключение сделки с цифровым финансовым активом, соответствующей дополнительным условиям, определенным внутренними документами оператора платформы цифровых финансовых активов и (или) оператора торговой платформы цифровых активов.</w:t>
      </w:r>
    </w:p>
    <w:bookmarkEnd w:id="27"/>
    <w:bookmarkStart w:name="z35" w:id="28"/>
    <w:p>
      <w:pPr>
        <w:spacing w:after="0"/>
        <w:ind w:left="0"/>
        <w:jc w:val="both"/>
      </w:pPr>
      <w:r>
        <w:rPr>
          <w:rFonts w:ascii="Times New Roman"/>
          <w:b w:val="false"/>
          <w:i w:val="false"/>
          <w:color w:val="000000"/>
          <w:sz w:val="28"/>
        </w:rPr>
        <w:t>
      5. Действия, предусмотренные пунктом 4 Правил, соответствуют одному из следующих критериев определения отклонения цены, спроса, предложения и объема торгов цифровым финансовым активом:</w:t>
      </w:r>
    </w:p>
    <w:bookmarkEnd w:id="28"/>
    <w:bookmarkStart w:name="z36" w:id="29"/>
    <w:p>
      <w:pPr>
        <w:spacing w:after="0"/>
        <w:ind w:left="0"/>
        <w:jc w:val="both"/>
      </w:pPr>
      <w:r>
        <w:rPr>
          <w:rFonts w:ascii="Times New Roman"/>
          <w:b w:val="false"/>
          <w:i w:val="false"/>
          <w:color w:val="000000"/>
          <w:sz w:val="28"/>
        </w:rPr>
        <w:t>
      1) отсутствие сделок между независимыми участниками торгов цифровым финансовым активом, подтверждающих сложившийся уровень цены, спроса, предложения или объема торгов в течение периода мониторинга и анализа;</w:t>
      </w:r>
    </w:p>
    <w:bookmarkEnd w:id="29"/>
    <w:bookmarkStart w:name="z37" w:id="30"/>
    <w:p>
      <w:pPr>
        <w:spacing w:after="0"/>
        <w:ind w:left="0"/>
        <w:jc w:val="both"/>
      </w:pPr>
      <w:r>
        <w:rPr>
          <w:rFonts w:ascii="Times New Roman"/>
          <w:b w:val="false"/>
          <w:i w:val="false"/>
          <w:color w:val="000000"/>
          <w:sz w:val="28"/>
        </w:rPr>
        <w:t>
      2) изменение объема торгов цифровым финансовым активом при одновременном изменении структуры заявок на покупку и продажу данного цифрового финансового актива;</w:t>
      </w:r>
    </w:p>
    <w:bookmarkEnd w:id="30"/>
    <w:bookmarkStart w:name="z38" w:id="31"/>
    <w:p>
      <w:pPr>
        <w:spacing w:after="0"/>
        <w:ind w:left="0"/>
        <w:jc w:val="both"/>
      </w:pPr>
      <w:r>
        <w:rPr>
          <w:rFonts w:ascii="Times New Roman"/>
          <w:b w:val="false"/>
          <w:i w:val="false"/>
          <w:color w:val="000000"/>
          <w:sz w:val="28"/>
        </w:rPr>
        <w:t>
      3) изменение соотношения заявок на покупку и продажу цифрового финансового актива при неизменности условий выпуска или обращения данного цифрового финансового актива;</w:t>
      </w:r>
    </w:p>
    <w:bookmarkEnd w:id="31"/>
    <w:bookmarkStart w:name="z39" w:id="32"/>
    <w:p>
      <w:pPr>
        <w:spacing w:after="0"/>
        <w:ind w:left="0"/>
        <w:jc w:val="both"/>
      </w:pPr>
      <w:r>
        <w:rPr>
          <w:rFonts w:ascii="Times New Roman"/>
          <w:b w:val="false"/>
          <w:i w:val="false"/>
          <w:color w:val="000000"/>
          <w:sz w:val="28"/>
        </w:rPr>
        <w:t>
      4) изменение уровней цен заявок на покупку и продажу цифрового финансового актива;</w:t>
      </w:r>
    </w:p>
    <w:bookmarkEnd w:id="32"/>
    <w:bookmarkStart w:name="z40" w:id="33"/>
    <w:p>
      <w:pPr>
        <w:spacing w:after="0"/>
        <w:ind w:left="0"/>
        <w:jc w:val="both"/>
      </w:pPr>
      <w:r>
        <w:rPr>
          <w:rFonts w:ascii="Times New Roman"/>
          <w:b w:val="false"/>
          <w:i w:val="false"/>
          <w:color w:val="000000"/>
          <w:sz w:val="28"/>
        </w:rPr>
        <w:t>
      5) отличие уровней цен одного и того же цифрового финансового актива на различных торговых площадках;</w:t>
      </w:r>
    </w:p>
    <w:bookmarkEnd w:id="33"/>
    <w:bookmarkStart w:name="z41" w:id="34"/>
    <w:p>
      <w:pPr>
        <w:spacing w:after="0"/>
        <w:ind w:left="0"/>
        <w:jc w:val="both"/>
      </w:pPr>
      <w:r>
        <w:rPr>
          <w:rFonts w:ascii="Times New Roman"/>
          <w:b w:val="false"/>
          <w:i w:val="false"/>
          <w:color w:val="000000"/>
          <w:sz w:val="28"/>
        </w:rPr>
        <w:t>
      6) отсутствие подтверждения установившихся уровней цен последующими сделками в течение периода мониторинга и анализа;</w:t>
      </w:r>
    </w:p>
    <w:bookmarkEnd w:id="34"/>
    <w:bookmarkStart w:name="z42" w:id="35"/>
    <w:p>
      <w:pPr>
        <w:spacing w:after="0"/>
        <w:ind w:left="0"/>
        <w:jc w:val="both"/>
      </w:pPr>
      <w:r>
        <w:rPr>
          <w:rFonts w:ascii="Times New Roman"/>
          <w:b w:val="false"/>
          <w:i w:val="false"/>
          <w:color w:val="000000"/>
          <w:sz w:val="28"/>
        </w:rPr>
        <w:t>
      7) концентрация торговой активности в отношении отдельного цифрового финансового актива у ограниченного круга участников торгов данным цифровым финансовым активом;</w:t>
      </w:r>
    </w:p>
    <w:bookmarkEnd w:id="35"/>
    <w:bookmarkStart w:name="z43" w:id="36"/>
    <w:p>
      <w:pPr>
        <w:spacing w:after="0"/>
        <w:ind w:left="0"/>
        <w:jc w:val="both"/>
      </w:pPr>
      <w:r>
        <w:rPr>
          <w:rFonts w:ascii="Times New Roman"/>
          <w:b w:val="false"/>
          <w:i w:val="false"/>
          <w:color w:val="000000"/>
          <w:sz w:val="28"/>
        </w:rPr>
        <w:t>
      8) неоднократное изменение цены, спроса, предложения и (или) объема торгов цифровым финансовым активом при отсутствии соответствующих рыночных факторов.</w:t>
      </w:r>
    </w:p>
    <w:bookmarkEnd w:id="36"/>
    <w:bookmarkStart w:name="z44" w:id="37"/>
    <w:p>
      <w:pPr>
        <w:spacing w:after="0"/>
        <w:ind w:left="0"/>
        <w:jc w:val="both"/>
      </w:pPr>
      <w:r>
        <w:rPr>
          <w:rFonts w:ascii="Times New Roman"/>
          <w:b w:val="false"/>
          <w:i w:val="false"/>
          <w:color w:val="000000"/>
          <w:sz w:val="28"/>
        </w:rPr>
        <w:t>
      Параметры, используемые для применения вышеуказанных критериев, (далее – параметры) определяются в зависимости от вида, ликвидности и рыночной цены цифровых финансовых активов, если иное не установлено Правилами, внутренними документами оператора платформы цифровых финансовых активов и оператора торговой платформы цифровых активов, которыми:</w:t>
      </w:r>
    </w:p>
    <w:bookmarkEnd w:id="37"/>
    <w:bookmarkStart w:name="z45" w:id="38"/>
    <w:p>
      <w:pPr>
        <w:spacing w:after="0"/>
        <w:ind w:left="0"/>
        <w:jc w:val="both"/>
      </w:pPr>
      <w:r>
        <w:rPr>
          <w:rFonts w:ascii="Times New Roman"/>
          <w:b w:val="false"/>
          <w:i w:val="false"/>
          <w:color w:val="000000"/>
          <w:sz w:val="28"/>
        </w:rPr>
        <w:t>
      1) устанавливается методика расчета параметров, которая содержит следующее:</w:t>
      </w:r>
    </w:p>
    <w:bookmarkEnd w:id="38"/>
    <w:bookmarkStart w:name="z46" w:id="39"/>
    <w:p>
      <w:pPr>
        <w:spacing w:after="0"/>
        <w:ind w:left="0"/>
        <w:jc w:val="both"/>
      </w:pPr>
      <w:r>
        <w:rPr>
          <w:rFonts w:ascii="Times New Roman"/>
          <w:b w:val="false"/>
          <w:i w:val="false"/>
          <w:color w:val="000000"/>
          <w:sz w:val="28"/>
        </w:rPr>
        <w:t>
      рыночную цену, спрос, предложение, объем торгов цифровым финансовым активом;</w:t>
      </w:r>
    </w:p>
    <w:bookmarkEnd w:id="39"/>
    <w:bookmarkStart w:name="z47" w:id="40"/>
    <w:p>
      <w:pPr>
        <w:spacing w:after="0"/>
        <w:ind w:left="0"/>
        <w:jc w:val="both"/>
      </w:pPr>
      <w:r>
        <w:rPr>
          <w:rFonts w:ascii="Times New Roman"/>
          <w:b w:val="false"/>
          <w:i w:val="false"/>
          <w:color w:val="000000"/>
          <w:sz w:val="28"/>
        </w:rPr>
        <w:t>
      отклонение цены, спроса, предложения, объема торгов цифровым финансовым активом;</w:t>
      </w:r>
    </w:p>
    <w:bookmarkEnd w:id="40"/>
    <w:bookmarkStart w:name="z48" w:id="41"/>
    <w:p>
      <w:pPr>
        <w:spacing w:after="0"/>
        <w:ind w:left="0"/>
        <w:jc w:val="both"/>
      </w:pPr>
      <w:r>
        <w:rPr>
          <w:rFonts w:ascii="Times New Roman"/>
          <w:b w:val="false"/>
          <w:i w:val="false"/>
          <w:color w:val="000000"/>
          <w:sz w:val="28"/>
        </w:rPr>
        <w:t>
      ликвидность цифрового финансового актива;</w:t>
      </w:r>
    </w:p>
    <w:bookmarkEnd w:id="41"/>
    <w:bookmarkStart w:name="z49" w:id="42"/>
    <w:p>
      <w:pPr>
        <w:spacing w:after="0"/>
        <w:ind w:left="0"/>
        <w:jc w:val="both"/>
      </w:pPr>
      <w:r>
        <w:rPr>
          <w:rFonts w:ascii="Times New Roman"/>
          <w:b w:val="false"/>
          <w:i w:val="false"/>
          <w:color w:val="000000"/>
          <w:sz w:val="28"/>
        </w:rPr>
        <w:t>
      2) обеспечивается единое применение параметров в отношении всех участников торгов цифровыми финансовыми активами.</w:t>
      </w:r>
    </w:p>
    <w:bookmarkEnd w:id="42"/>
    <w:bookmarkStart w:name="z50" w:id="43"/>
    <w:p>
      <w:pPr>
        <w:spacing w:after="0"/>
        <w:ind w:left="0"/>
        <w:jc w:val="both"/>
      </w:pPr>
      <w:r>
        <w:rPr>
          <w:rFonts w:ascii="Times New Roman"/>
          <w:b w:val="false"/>
          <w:i w:val="false"/>
          <w:color w:val="000000"/>
          <w:sz w:val="28"/>
        </w:rPr>
        <w:t>
      6. Не подлежат мониторингу и анализу на предмет выявления действий субъекта рынка цифровых финансовых активов или иных лиц как совершенных в целях манипулирования на рынке цифровых финансовых активов действия соответствующие следующим условиям:</w:t>
      </w:r>
    </w:p>
    <w:bookmarkEnd w:id="43"/>
    <w:bookmarkStart w:name="z51" w:id="44"/>
    <w:p>
      <w:pPr>
        <w:spacing w:after="0"/>
        <w:ind w:left="0"/>
        <w:jc w:val="both"/>
      </w:pPr>
      <w:r>
        <w:rPr>
          <w:rFonts w:ascii="Times New Roman"/>
          <w:b w:val="false"/>
          <w:i w:val="false"/>
          <w:color w:val="000000"/>
          <w:sz w:val="28"/>
        </w:rPr>
        <w:t>
      изменение цены цифрового финансового актива сложилось в результате проведения дробления (сплита) по акциям и (или) пересмотра количества акций, являющихся базовым активом данного цифрового финансового актива;</w:t>
      </w:r>
    </w:p>
    <w:bookmarkEnd w:id="44"/>
    <w:bookmarkStart w:name="z52" w:id="45"/>
    <w:p>
      <w:pPr>
        <w:spacing w:after="0"/>
        <w:ind w:left="0"/>
        <w:jc w:val="both"/>
      </w:pPr>
      <w:r>
        <w:rPr>
          <w:rFonts w:ascii="Times New Roman"/>
          <w:b w:val="false"/>
          <w:i w:val="false"/>
          <w:color w:val="000000"/>
          <w:sz w:val="28"/>
        </w:rPr>
        <w:t>
      заключение сделок с цифровыми финансовыми активами по цене, сложившейся под влиянием принятого решения уполномоченного органа эмитента этих цифровых финансовых активов об их размещении по новой цене и (или) внесения (внесенных) поправок в условия их выпуска, способных значительно повлиять на цену данных цифровых финансовых активов;</w:t>
      </w:r>
    </w:p>
    <w:bookmarkEnd w:id="45"/>
    <w:bookmarkStart w:name="z53" w:id="46"/>
    <w:p>
      <w:pPr>
        <w:spacing w:after="0"/>
        <w:ind w:left="0"/>
        <w:jc w:val="both"/>
      </w:pPr>
      <w:r>
        <w:rPr>
          <w:rFonts w:ascii="Times New Roman"/>
          <w:b w:val="false"/>
          <w:i w:val="false"/>
          <w:color w:val="000000"/>
          <w:sz w:val="28"/>
        </w:rPr>
        <w:t>
      действия, совершенные с цифровыми финансовыми активами, базовыми активами которых выступают деньги.</w:t>
      </w:r>
    </w:p>
    <w:bookmarkEnd w:id="46"/>
    <w:bookmarkStart w:name="z54" w:id="47"/>
    <w:p>
      <w:pPr>
        <w:spacing w:after="0"/>
        <w:ind w:left="0"/>
        <w:jc w:val="both"/>
      </w:pPr>
      <w:r>
        <w:rPr>
          <w:rFonts w:ascii="Times New Roman"/>
          <w:b w:val="false"/>
          <w:i w:val="false"/>
          <w:color w:val="000000"/>
          <w:sz w:val="28"/>
        </w:rPr>
        <w:t>
      7. Не являются совершенными с целью манипулирования следующие сделки купли-продажи цифровых финансовых активов, исполнение которых не привело к существенному изменению количества таких цифровых финансовых активов, находящихся у сторон этих сделок:</w:t>
      </w:r>
    </w:p>
    <w:bookmarkEnd w:id="47"/>
    <w:bookmarkStart w:name="z55" w:id="48"/>
    <w:p>
      <w:pPr>
        <w:spacing w:after="0"/>
        <w:ind w:left="0"/>
        <w:jc w:val="both"/>
      </w:pPr>
      <w:r>
        <w:rPr>
          <w:rFonts w:ascii="Times New Roman"/>
          <w:b w:val="false"/>
          <w:i w:val="false"/>
          <w:color w:val="000000"/>
          <w:sz w:val="28"/>
        </w:rPr>
        <w:t>
      1) две сделки одного и того же объема с одними и теми же цифровыми финансовыми активами, вторая из которых заключена в целях исправления технической ошибки, допущенной при заключении первой из данных сделок на рынке цифровых финансовых активов;</w:t>
      </w:r>
    </w:p>
    <w:bookmarkEnd w:id="48"/>
    <w:bookmarkStart w:name="z56" w:id="49"/>
    <w:p>
      <w:pPr>
        <w:spacing w:after="0"/>
        <w:ind w:left="0"/>
        <w:jc w:val="both"/>
      </w:pPr>
      <w:r>
        <w:rPr>
          <w:rFonts w:ascii="Times New Roman"/>
          <w:b w:val="false"/>
          <w:i w:val="false"/>
          <w:color w:val="000000"/>
          <w:sz w:val="28"/>
        </w:rPr>
        <w:t>
      2) сделка, условия совершения которой признаны несущественными на основании критериев, определенных внутренними документами операторов платформы цифровых финансовых активов и (или) операторов торговой платформы цифровых активов.</w:t>
      </w:r>
    </w:p>
    <w:bookmarkEnd w:id="49"/>
    <w:bookmarkStart w:name="z57" w:id="50"/>
    <w:p>
      <w:pPr>
        <w:spacing w:after="0"/>
        <w:ind w:left="0"/>
        <w:jc w:val="both"/>
      </w:pPr>
      <w:r>
        <w:rPr>
          <w:rFonts w:ascii="Times New Roman"/>
          <w:b w:val="false"/>
          <w:i w:val="false"/>
          <w:color w:val="000000"/>
          <w:sz w:val="28"/>
        </w:rPr>
        <w:t>
      8. Выявление действий субъекта рынка цифровых финансовых активов и иных лиц как совершенных в целях манипулирования на рынке цифровых финансовых активов, осуществляется:</w:t>
      </w:r>
    </w:p>
    <w:bookmarkEnd w:id="50"/>
    <w:bookmarkStart w:name="z58" w:id="51"/>
    <w:p>
      <w:pPr>
        <w:spacing w:after="0"/>
        <w:ind w:left="0"/>
        <w:jc w:val="both"/>
      </w:pPr>
      <w:r>
        <w:rPr>
          <w:rFonts w:ascii="Times New Roman"/>
          <w:b w:val="false"/>
          <w:i w:val="false"/>
          <w:color w:val="000000"/>
          <w:sz w:val="28"/>
        </w:rPr>
        <w:t>
      1) уполномоченным органом по регулированию, контролю и надзору финансового рынка и финансовых организаций (далее – уполномоченный орган) на основании информации, которая содержится в отчетах операторов платформы цифровых финансовых активов, операторов торговой платформы цифровых активов и профессиональных участников рынка ценных бумаг, осуществляющих операции с цифровыми финансовыми активами, обращениях (заявлениях, жалобах) субъекта рынка цифровых финансовых активов, государственных органов и иных физических и юридических лиц, публикациях средств массовой информации, результатах проверок деятельности субъекта рынка цифровых финансовых активов;</w:t>
      </w:r>
    </w:p>
    <w:bookmarkEnd w:id="51"/>
    <w:bookmarkStart w:name="z59" w:id="52"/>
    <w:p>
      <w:pPr>
        <w:spacing w:after="0"/>
        <w:ind w:left="0"/>
        <w:jc w:val="both"/>
      </w:pPr>
      <w:r>
        <w:rPr>
          <w:rFonts w:ascii="Times New Roman"/>
          <w:b w:val="false"/>
          <w:i w:val="false"/>
          <w:color w:val="000000"/>
          <w:sz w:val="28"/>
        </w:rPr>
        <w:t>
      2) структурными подразделениями операторов платформы цифровых финансовых активов и (или) операторов торговой платформы цифровых активов, осуществляющими деятельность по надзору за действиями субъекта рынка цифровых финансовых активов, совершаемыми на платформах операторов цифровых финансовых активов и торговых платформах операторов цифровых активов.</w:t>
      </w:r>
    </w:p>
    <w:bookmarkEnd w:id="52"/>
    <w:bookmarkStart w:name="z60" w:id="53"/>
    <w:p>
      <w:pPr>
        <w:spacing w:after="0"/>
        <w:ind w:left="0"/>
        <w:jc w:val="both"/>
      </w:pPr>
      <w:r>
        <w:rPr>
          <w:rFonts w:ascii="Times New Roman"/>
          <w:b w:val="false"/>
          <w:i w:val="false"/>
          <w:color w:val="000000"/>
          <w:sz w:val="28"/>
        </w:rPr>
        <w:t>
      9. При выявлении структурными подразделениями операторов платформы цифровых финансовых активов и (или) операторов торговой платформы цифровых активов, осуществляющими деятельность по надзору за действиями субъекта рынка цифровых финансовых активов, совершаемыми на платформе цифровых финансовых активов и торговой платформе цифровых активов, соответствующими пункту 4 Правил, с учетом положений, предусмотренных пунктами 6 и 7 Правил, отчет о таких действиях направляется в уполномоченный орган в сроки, установленные внутренними документами операторов платформы цифровых финансовых активов и (или) операторов торговой платформы цифровых активов, но не позднее 15 (пятнадцати) рабочих дней со дня, следующего за днем выявления таких действий.</w:t>
      </w:r>
    </w:p>
    <w:bookmarkEnd w:id="53"/>
    <w:bookmarkStart w:name="z61" w:id="54"/>
    <w:p>
      <w:pPr>
        <w:spacing w:after="0"/>
        <w:ind w:left="0"/>
        <w:jc w:val="both"/>
      </w:pPr>
      <w:r>
        <w:rPr>
          <w:rFonts w:ascii="Times New Roman"/>
          <w:b w:val="false"/>
          <w:i w:val="false"/>
          <w:color w:val="000000"/>
          <w:sz w:val="28"/>
        </w:rPr>
        <w:t>
      10. Признание действий субъекта рынка цифровых финансовых активов и иных лиц как совершенных в целях манипулирования на рынке цифровых финансовых активов осуществляется уполномоченным органом по итогам рассмотрения заключения экспертного комитета, осуществляющего рассмотрение вопросов признания действий субъекта рынка ценных бумаг и иных лиц как совершенных в целях манипулирования.</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