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4fff" w14:textId="a0a4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апреля 2026 года № 82. Зарегистрировано в Министерстве юстиции Республики Казахстан 28 апреля 2026 года № 38570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(зарегистрировано в Реестре государственной регистрации нормативных правовых актов под № 6164) следующие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8" w:id="3"/>
    <w:p>
      <w:pPr>
        <w:spacing w:after="0"/>
        <w:ind w:left="0"/>
        <w:jc w:val="both"/>
      </w:pPr>
      <w:r>
        <w:rPr>
          <w:rFonts w:ascii="Times New Roman"/>
          <w:b w:val="false"/>
          <w:i w:val="false"/>
          <w:color w:val="000000"/>
          <w:sz w:val="28"/>
        </w:rPr>
        <w:t>
      "В целях защиты прав и законных интересов страхователей, обеспечения добросовестного поведения страховых организаций, филиалов страховых организаций – нерезидентов Республики Казахстан, а также предупреждения причинения вреда страхователям, настоящими Требованиями устанавливаются виды и признаки недобросовестных практик в страховой деятельности, порядок их выявления, требования к рассмотрению обращений страхователей, а также требования к мерам по повышению финансовой грамотности страхователей.";</w:t>
      </w:r>
    </w:p>
    <w:bookmarkEnd w:id="3"/>
    <w:bookmarkStart w:name="z9" w:id="4"/>
    <w:p>
      <w:pPr>
        <w:spacing w:after="0"/>
        <w:ind w:left="0"/>
        <w:jc w:val="both"/>
      </w:pPr>
      <w:r>
        <w:rPr>
          <w:rFonts w:ascii="Times New Roman"/>
          <w:b w:val="false"/>
          <w:i w:val="false"/>
          <w:color w:val="000000"/>
          <w:sz w:val="28"/>
        </w:rPr>
        <w:t>
      дополнить пунктами 2-1 и 2-2 следующего содержания:</w:t>
      </w:r>
    </w:p>
    <w:bookmarkEnd w:id="4"/>
    <w:bookmarkStart w:name="z10" w:id="5"/>
    <w:p>
      <w:pPr>
        <w:spacing w:after="0"/>
        <w:ind w:left="0"/>
        <w:jc w:val="both"/>
      </w:pPr>
      <w:r>
        <w:rPr>
          <w:rFonts w:ascii="Times New Roman"/>
          <w:b w:val="false"/>
          <w:i w:val="false"/>
          <w:color w:val="000000"/>
          <w:sz w:val="28"/>
        </w:rPr>
        <w:t>
      "2-1. Страховая организация, ее работники и страховые агенты не допускают недобросовестные практики при предоставлении страховых продуктов.</w:t>
      </w:r>
    </w:p>
    <w:bookmarkEnd w:id="5"/>
    <w:bookmarkStart w:name="z11" w:id="6"/>
    <w:p>
      <w:pPr>
        <w:spacing w:after="0"/>
        <w:ind w:left="0"/>
        <w:jc w:val="both"/>
      </w:pPr>
      <w:r>
        <w:rPr>
          <w:rFonts w:ascii="Times New Roman"/>
          <w:b w:val="false"/>
          <w:i w:val="false"/>
          <w:color w:val="000000"/>
          <w:sz w:val="28"/>
        </w:rPr>
        <w:t xml:space="preserve">
      К видам недобросовестных практик относятся, в том числе: </w:t>
      </w:r>
    </w:p>
    <w:bookmarkEnd w:id="6"/>
    <w:bookmarkStart w:name="z12" w:id="7"/>
    <w:p>
      <w:pPr>
        <w:spacing w:after="0"/>
        <w:ind w:left="0"/>
        <w:jc w:val="both"/>
      </w:pPr>
      <w:r>
        <w:rPr>
          <w:rFonts w:ascii="Times New Roman"/>
          <w:b w:val="false"/>
          <w:i w:val="false"/>
          <w:color w:val="000000"/>
          <w:sz w:val="28"/>
        </w:rPr>
        <w:t>
      1) побуждение страхователя к приобретению страхового продукта, не соответствующего его заявленным потребностям;</w:t>
      </w:r>
    </w:p>
    <w:bookmarkEnd w:id="7"/>
    <w:bookmarkStart w:name="z13" w:id="8"/>
    <w:p>
      <w:pPr>
        <w:spacing w:after="0"/>
        <w:ind w:left="0"/>
        <w:jc w:val="both"/>
      </w:pPr>
      <w:r>
        <w:rPr>
          <w:rFonts w:ascii="Times New Roman"/>
          <w:b w:val="false"/>
          <w:i w:val="false"/>
          <w:color w:val="000000"/>
          <w:sz w:val="28"/>
        </w:rPr>
        <w:t>
      2) сокрытие, искажение либо неполное раскрытие информации о существенных условиях и рисках страхового продукта;</w:t>
      </w:r>
    </w:p>
    <w:bookmarkEnd w:id="8"/>
    <w:bookmarkStart w:name="z14" w:id="9"/>
    <w:p>
      <w:pPr>
        <w:spacing w:after="0"/>
        <w:ind w:left="0"/>
        <w:jc w:val="both"/>
      </w:pPr>
      <w:r>
        <w:rPr>
          <w:rFonts w:ascii="Times New Roman"/>
          <w:b w:val="false"/>
          <w:i w:val="false"/>
          <w:color w:val="000000"/>
          <w:sz w:val="28"/>
        </w:rPr>
        <w:t>
      3) создание условий, ограничивающих свободу выбора страхового продукта или страховой организации;</w:t>
      </w:r>
    </w:p>
    <w:bookmarkEnd w:id="9"/>
    <w:bookmarkStart w:name="z15" w:id="10"/>
    <w:p>
      <w:pPr>
        <w:spacing w:after="0"/>
        <w:ind w:left="0"/>
        <w:jc w:val="both"/>
      </w:pPr>
      <w:r>
        <w:rPr>
          <w:rFonts w:ascii="Times New Roman"/>
          <w:b w:val="false"/>
          <w:i w:val="false"/>
          <w:color w:val="000000"/>
          <w:sz w:val="28"/>
        </w:rPr>
        <w:t>
      4) навязывание страховых продуктов и (или) дополнительных услуг, а также сокрытие информации о праве отказаться от их приобретения.</w:t>
      </w:r>
    </w:p>
    <w:bookmarkEnd w:id="10"/>
    <w:bookmarkStart w:name="z16" w:id="11"/>
    <w:p>
      <w:pPr>
        <w:spacing w:after="0"/>
        <w:ind w:left="0"/>
        <w:jc w:val="both"/>
      </w:pPr>
      <w:r>
        <w:rPr>
          <w:rFonts w:ascii="Times New Roman"/>
          <w:b w:val="false"/>
          <w:i w:val="false"/>
          <w:color w:val="000000"/>
          <w:sz w:val="28"/>
        </w:rPr>
        <w:t>
      При предоставлении страховых продуктов страховые организации обеспечивают регулярный мониторинг деятельности своих работников и страховых агентов в порядке и с периодичностью, определяемыми внутренними документами, с целью выявления и предотвращения рисков недобросовестного поведения, недобросовестных практик и принятия необходимых корректирующих мер для их предотвращения и устранения. Регулярный мониторинг деятельности включает, но не ограничиваясь:</w:t>
      </w:r>
    </w:p>
    <w:bookmarkEnd w:id="11"/>
    <w:bookmarkStart w:name="z17" w:id="12"/>
    <w:p>
      <w:pPr>
        <w:spacing w:after="0"/>
        <w:ind w:left="0"/>
        <w:jc w:val="both"/>
      </w:pPr>
      <w:r>
        <w:rPr>
          <w:rFonts w:ascii="Times New Roman"/>
          <w:b w:val="false"/>
          <w:i w:val="false"/>
          <w:color w:val="000000"/>
          <w:sz w:val="28"/>
        </w:rPr>
        <w:t>
      проведение контрольных закупок страховых продуктов;</w:t>
      </w:r>
    </w:p>
    <w:bookmarkEnd w:id="12"/>
    <w:bookmarkStart w:name="z18" w:id="13"/>
    <w:p>
      <w:pPr>
        <w:spacing w:after="0"/>
        <w:ind w:left="0"/>
        <w:jc w:val="both"/>
      </w:pPr>
      <w:r>
        <w:rPr>
          <w:rFonts w:ascii="Times New Roman"/>
          <w:b w:val="false"/>
          <w:i w:val="false"/>
          <w:color w:val="000000"/>
          <w:sz w:val="28"/>
        </w:rPr>
        <w:t>
      анализ данных об обращениях в разрезе страховых продуктов;</w:t>
      </w:r>
    </w:p>
    <w:bookmarkEnd w:id="13"/>
    <w:bookmarkStart w:name="z19" w:id="14"/>
    <w:p>
      <w:pPr>
        <w:spacing w:after="0"/>
        <w:ind w:left="0"/>
        <w:jc w:val="both"/>
      </w:pPr>
      <w:r>
        <w:rPr>
          <w:rFonts w:ascii="Times New Roman"/>
          <w:b w:val="false"/>
          <w:i w:val="false"/>
          <w:color w:val="000000"/>
          <w:sz w:val="28"/>
        </w:rPr>
        <w:t>
      измерение удовлетворенности страхователей оказанными страховыми услугами.</w:t>
      </w:r>
    </w:p>
    <w:bookmarkEnd w:id="14"/>
    <w:bookmarkStart w:name="z20" w:id="15"/>
    <w:p>
      <w:pPr>
        <w:spacing w:after="0"/>
        <w:ind w:left="0"/>
        <w:jc w:val="both"/>
      </w:pPr>
      <w:r>
        <w:rPr>
          <w:rFonts w:ascii="Times New Roman"/>
          <w:b w:val="false"/>
          <w:i w:val="false"/>
          <w:color w:val="000000"/>
          <w:sz w:val="28"/>
        </w:rPr>
        <w:t>
      2-2. Страховая организация утверждает внутренний документ (руководство по раскрытию информации по страховым продуктам), устанавливающий обязательный перечень, содержание, форму и последовательность доведения информации о страховых продуктах до страхователя работниками страховой организации и страховыми агентами при консультировании и заключении договора страхования независимо от способа обслуживания.</w:t>
      </w:r>
    </w:p>
    <w:bookmarkEnd w:id="15"/>
    <w:bookmarkStart w:name="z21" w:id="16"/>
    <w:p>
      <w:pPr>
        <w:spacing w:after="0"/>
        <w:ind w:left="0"/>
        <w:jc w:val="both"/>
      </w:pPr>
      <w:r>
        <w:rPr>
          <w:rFonts w:ascii="Times New Roman"/>
          <w:b w:val="false"/>
          <w:i w:val="false"/>
          <w:color w:val="000000"/>
          <w:sz w:val="28"/>
        </w:rPr>
        <w:t>
      Внутренний документ обязателен для применения всеми работниками страховой организации и страховыми агентами и используется страховой организацией при обучении, контроле и мониторинге их деятельности.</w:t>
      </w:r>
    </w:p>
    <w:bookmarkEnd w:id="16"/>
    <w:bookmarkStart w:name="z22" w:id="17"/>
    <w:p>
      <w:pPr>
        <w:spacing w:after="0"/>
        <w:ind w:left="0"/>
        <w:jc w:val="both"/>
      </w:pPr>
      <w:r>
        <w:rPr>
          <w:rFonts w:ascii="Times New Roman"/>
          <w:b w:val="false"/>
          <w:i w:val="false"/>
          <w:color w:val="000000"/>
          <w:sz w:val="28"/>
        </w:rPr>
        <w:t>
      Раскрытие информации о страховых продуктах осуществляется работниками страховой организации и страховыми агентами бесплатно на этапах консультирования, заключения и сопровождения договора страхования.</w:t>
      </w:r>
    </w:p>
    <w:bookmarkEnd w:id="17"/>
    <w:bookmarkStart w:name="z23" w:id="18"/>
    <w:p>
      <w:pPr>
        <w:spacing w:after="0"/>
        <w:ind w:left="0"/>
        <w:jc w:val="both"/>
      </w:pPr>
      <w:r>
        <w:rPr>
          <w:rFonts w:ascii="Times New Roman"/>
          <w:b w:val="false"/>
          <w:i w:val="false"/>
          <w:color w:val="000000"/>
          <w:sz w:val="28"/>
        </w:rPr>
        <w:t>
      Раскрываемая информация о страховом продукте, об особенностях, условиях и рисках страхового продукта излагается в достоверной форме, содержит четкий и не подлежащий различному толкованию смысл.</w:t>
      </w:r>
    </w:p>
    <w:bookmarkEnd w:id="18"/>
    <w:bookmarkStart w:name="z24" w:id="19"/>
    <w:p>
      <w:pPr>
        <w:spacing w:after="0"/>
        <w:ind w:left="0"/>
        <w:jc w:val="both"/>
      </w:pPr>
      <w:r>
        <w:rPr>
          <w:rFonts w:ascii="Times New Roman"/>
          <w:b w:val="false"/>
          <w:i w:val="false"/>
          <w:color w:val="000000"/>
          <w:sz w:val="28"/>
        </w:rPr>
        <w:t>
      До заключения со страхователем договора страхования страховая организация и страховые агенты предоставляют страхователю в письменной форме следующие документы:</w:t>
      </w:r>
    </w:p>
    <w:bookmarkEnd w:id="19"/>
    <w:bookmarkStart w:name="z25" w:id="20"/>
    <w:p>
      <w:pPr>
        <w:spacing w:after="0"/>
        <w:ind w:left="0"/>
        <w:jc w:val="both"/>
      </w:pPr>
      <w:r>
        <w:rPr>
          <w:rFonts w:ascii="Times New Roman"/>
          <w:b w:val="false"/>
          <w:i w:val="false"/>
          <w:color w:val="000000"/>
          <w:sz w:val="28"/>
        </w:rPr>
        <w:t>
      ключевой информационный документ, содержащий в краткой и доступной форме основную информацию о страховом продукте, включая информацию об особенностях, условиях и рисках страхового продукта;</w:t>
      </w:r>
    </w:p>
    <w:bookmarkEnd w:id="20"/>
    <w:bookmarkStart w:name="z26" w:id="21"/>
    <w:p>
      <w:pPr>
        <w:spacing w:after="0"/>
        <w:ind w:left="0"/>
        <w:jc w:val="both"/>
      </w:pPr>
      <w:r>
        <w:rPr>
          <w:rFonts w:ascii="Times New Roman"/>
          <w:b w:val="false"/>
          <w:i w:val="false"/>
          <w:color w:val="000000"/>
          <w:sz w:val="28"/>
        </w:rPr>
        <w:t>
      проект договора страхования – по желанию страхователя.</w:t>
      </w:r>
    </w:p>
    <w:bookmarkEnd w:id="21"/>
    <w:bookmarkStart w:name="z27" w:id="22"/>
    <w:p>
      <w:pPr>
        <w:spacing w:after="0"/>
        <w:ind w:left="0"/>
        <w:jc w:val="both"/>
      </w:pPr>
      <w:r>
        <w:rPr>
          <w:rFonts w:ascii="Times New Roman"/>
          <w:b w:val="false"/>
          <w:i w:val="false"/>
          <w:color w:val="000000"/>
          <w:sz w:val="28"/>
        </w:rPr>
        <w:t>
      Ознакомление страхователя с указанными документами подтверждается его подписью и при заключении договора страхования приобщается к страховому досье страхователя по данному договору страхования.</w:t>
      </w:r>
    </w:p>
    <w:bookmarkEnd w:id="22"/>
    <w:bookmarkStart w:name="z28" w:id="23"/>
    <w:p>
      <w:pPr>
        <w:spacing w:after="0"/>
        <w:ind w:left="0"/>
        <w:jc w:val="both"/>
      </w:pPr>
      <w:r>
        <w:rPr>
          <w:rFonts w:ascii="Times New Roman"/>
          <w:b w:val="false"/>
          <w:i w:val="false"/>
          <w:color w:val="000000"/>
          <w:sz w:val="28"/>
        </w:rPr>
        <w:t xml:space="preserve">
      При заключении договора страхования в электронной форме ознакомление страхователя с документами, предусмотренными настоящим пунктом, подтверждается проставлением страхователем соответствующей отметки в электронной форме, позволяющей идентифицировать страхователя, а также дату и время такого ознакомления. </w:t>
      </w:r>
    </w:p>
    <w:bookmarkEnd w:id="23"/>
    <w:bookmarkStart w:name="z29" w:id="24"/>
    <w:p>
      <w:pPr>
        <w:spacing w:after="0"/>
        <w:ind w:left="0"/>
        <w:jc w:val="both"/>
      </w:pPr>
      <w:r>
        <w:rPr>
          <w:rFonts w:ascii="Times New Roman"/>
          <w:b w:val="false"/>
          <w:i w:val="false"/>
          <w:color w:val="000000"/>
          <w:sz w:val="28"/>
        </w:rPr>
        <w:t>
      При взаимодействии со страхователем без его личного присутствия, посредством интернет-ресурса страховой организации, мобильного приложения, личного кабинета, раскрытие информации осуществляется в объеме и формате, сопоставимом с личным взаимодействием.</w:t>
      </w:r>
    </w:p>
    <w:bookmarkEnd w:id="24"/>
    <w:bookmarkStart w:name="z30" w:id="25"/>
    <w:p>
      <w:pPr>
        <w:spacing w:after="0"/>
        <w:ind w:left="0"/>
        <w:jc w:val="both"/>
      </w:pPr>
      <w:r>
        <w:rPr>
          <w:rFonts w:ascii="Times New Roman"/>
          <w:b w:val="false"/>
          <w:i w:val="false"/>
          <w:color w:val="000000"/>
          <w:sz w:val="28"/>
        </w:rPr>
        <w:t xml:space="preserve">
      Страховая организация обеспечивает адаптацию способов раскрытия информации с учетом возможностей и уровня понимания страхователей. </w:t>
      </w:r>
    </w:p>
    <w:bookmarkEnd w:id="25"/>
    <w:bookmarkStart w:name="z31" w:id="26"/>
    <w:p>
      <w:pPr>
        <w:spacing w:after="0"/>
        <w:ind w:left="0"/>
        <w:jc w:val="both"/>
      </w:pPr>
      <w:r>
        <w:rPr>
          <w:rFonts w:ascii="Times New Roman"/>
          <w:b w:val="false"/>
          <w:i w:val="false"/>
          <w:color w:val="000000"/>
          <w:sz w:val="28"/>
        </w:rPr>
        <w:t>
      Раскрытие информации для лиц с инвалидностью и маломобильных групп населения осуществляется с учетом их потребностей и особенностей и включает доведение до их сведения, помимо информации, предусмотренной настоящим пунктом, сведений о доступных каналах обслуживания и порядке их использования, наличии и режиме работы адаптированных офисов обслуживания и устройств самообслуживания, форматах получения документов и информации, возможности ограничения или отключения отдельных каналов обслуживания по заявлению страхователя либо его представителя, ограничениях при обслуживании посредством интернет-ресурса страховой организации, мобильного приложения, личного кабинета и порядке их установления, а также о способах подписания документов, подтверждения волеизъявления страхователя и получения консультаций работников страховой организации при обслуживании посредством интернет-ресурса страховой организации, мобильного приложения, личного кабинета.</w:t>
      </w:r>
    </w:p>
    <w:bookmarkEnd w:id="26"/>
    <w:bookmarkStart w:name="z32" w:id="27"/>
    <w:p>
      <w:pPr>
        <w:spacing w:after="0"/>
        <w:ind w:left="0"/>
        <w:jc w:val="both"/>
      </w:pPr>
      <w:r>
        <w:rPr>
          <w:rFonts w:ascii="Times New Roman"/>
          <w:b w:val="false"/>
          <w:i w:val="false"/>
          <w:color w:val="000000"/>
          <w:sz w:val="28"/>
        </w:rPr>
        <w:t>
      Страховая организация обеспечивает постоянный и свободный доступ страхователей к общей информации о страховых продуктах в офисах, на интернет-ресурсе и мобильном приложении страховой организации.";</w:t>
      </w:r>
    </w:p>
    <w:bookmarkEnd w:id="27"/>
    <w:bookmarkStart w:name="z33" w:id="28"/>
    <w:p>
      <w:pPr>
        <w:spacing w:after="0"/>
        <w:ind w:left="0"/>
        <w:jc w:val="both"/>
      </w:pPr>
      <w:r>
        <w:rPr>
          <w:rFonts w:ascii="Times New Roman"/>
          <w:b w:val="false"/>
          <w:i w:val="false"/>
          <w:color w:val="000000"/>
          <w:sz w:val="28"/>
        </w:rPr>
        <w:t>
      дополнить пунктами 29 и 30 следующего содержания:</w:t>
      </w:r>
    </w:p>
    <w:bookmarkEnd w:id="28"/>
    <w:bookmarkStart w:name="z34" w:id="29"/>
    <w:p>
      <w:pPr>
        <w:spacing w:after="0"/>
        <w:ind w:left="0"/>
        <w:jc w:val="both"/>
      </w:pPr>
      <w:r>
        <w:rPr>
          <w:rFonts w:ascii="Times New Roman"/>
          <w:b w:val="false"/>
          <w:i w:val="false"/>
          <w:color w:val="000000"/>
          <w:sz w:val="28"/>
        </w:rPr>
        <w:t>
      "29. Страховая организация ежегодно разрабатывает и утверждает программу повышения финансовой грамотности действующих и потенциальных страхователей, направленную на формирование понимания условий страховых продуктов, страховых рисков и последствий принимаемых решений.</w:t>
      </w:r>
    </w:p>
    <w:bookmarkEnd w:id="29"/>
    <w:bookmarkStart w:name="z35" w:id="30"/>
    <w:p>
      <w:pPr>
        <w:spacing w:after="0"/>
        <w:ind w:left="0"/>
        <w:jc w:val="both"/>
      </w:pPr>
      <w:r>
        <w:rPr>
          <w:rFonts w:ascii="Times New Roman"/>
          <w:b w:val="false"/>
          <w:i w:val="false"/>
          <w:color w:val="000000"/>
          <w:sz w:val="28"/>
        </w:rPr>
        <w:t xml:space="preserve">
      Программа повышения финансовой грамотности реализуется на постоянной основе на казахском и русском языках при взаимодействии со страхователями (в офисах продаж и обслуживания, на интернет-ресурсе, в мобильном приложении, при консультациях, посредством печатных материалов). </w:t>
      </w:r>
    </w:p>
    <w:bookmarkEnd w:id="30"/>
    <w:bookmarkStart w:name="z36" w:id="31"/>
    <w:p>
      <w:pPr>
        <w:spacing w:after="0"/>
        <w:ind w:left="0"/>
        <w:jc w:val="both"/>
      </w:pPr>
      <w:r>
        <w:rPr>
          <w:rFonts w:ascii="Times New Roman"/>
          <w:b w:val="false"/>
          <w:i w:val="false"/>
          <w:color w:val="000000"/>
          <w:sz w:val="28"/>
        </w:rPr>
        <w:t>
      Программа повышения финансовой грамотности включает, в том числе:</w:t>
      </w:r>
    </w:p>
    <w:bookmarkEnd w:id="31"/>
    <w:bookmarkStart w:name="z37" w:id="32"/>
    <w:p>
      <w:pPr>
        <w:spacing w:after="0"/>
        <w:ind w:left="0"/>
        <w:jc w:val="both"/>
      </w:pPr>
      <w:r>
        <w:rPr>
          <w:rFonts w:ascii="Times New Roman"/>
          <w:b w:val="false"/>
          <w:i w:val="false"/>
          <w:color w:val="000000"/>
          <w:sz w:val="28"/>
        </w:rPr>
        <w:t xml:space="preserve">
      1) разъяснение условий страховых продуктов, страховых рисков и исключений; </w:t>
      </w:r>
    </w:p>
    <w:bookmarkEnd w:id="32"/>
    <w:bookmarkStart w:name="z38" w:id="33"/>
    <w:p>
      <w:pPr>
        <w:spacing w:after="0"/>
        <w:ind w:left="0"/>
        <w:jc w:val="both"/>
      </w:pPr>
      <w:r>
        <w:rPr>
          <w:rFonts w:ascii="Times New Roman"/>
          <w:b w:val="false"/>
          <w:i w:val="false"/>
          <w:color w:val="000000"/>
          <w:sz w:val="28"/>
        </w:rPr>
        <w:t xml:space="preserve">
      2) информирование о правах и обязанностях страхователей, порядке подачи обращений и защите прав; </w:t>
      </w:r>
    </w:p>
    <w:bookmarkEnd w:id="33"/>
    <w:bookmarkStart w:name="z39" w:id="34"/>
    <w:p>
      <w:pPr>
        <w:spacing w:after="0"/>
        <w:ind w:left="0"/>
        <w:jc w:val="both"/>
      </w:pPr>
      <w:r>
        <w:rPr>
          <w:rFonts w:ascii="Times New Roman"/>
          <w:b w:val="false"/>
          <w:i w:val="false"/>
          <w:color w:val="000000"/>
          <w:sz w:val="28"/>
        </w:rPr>
        <w:t>
      3) информирование об особенностях использования интернет-ресурса, мобильного приложения, личного кабинета и связанных с ними рисках.</w:t>
      </w:r>
    </w:p>
    <w:bookmarkEnd w:id="34"/>
    <w:bookmarkStart w:name="z40" w:id="35"/>
    <w:p>
      <w:pPr>
        <w:spacing w:after="0"/>
        <w:ind w:left="0"/>
        <w:jc w:val="both"/>
      </w:pPr>
      <w:r>
        <w:rPr>
          <w:rFonts w:ascii="Times New Roman"/>
          <w:b w:val="false"/>
          <w:i w:val="false"/>
          <w:color w:val="000000"/>
          <w:sz w:val="28"/>
        </w:rPr>
        <w:t>
      Страховая организация обеспечивает размещение на своем интернет-ресурсе общедоступных материалов по финансовой грамотности, включая ответы на часто задаваемые вопросы.</w:t>
      </w:r>
    </w:p>
    <w:bookmarkEnd w:id="35"/>
    <w:bookmarkStart w:name="z41" w:id="36"/>
    <w:p>
      <w:pPr>
        <w:spacing w:after="0"/>
        <w:ind w:left="0"/>
        <w:jc w:val="both"/>
      </w:pPr>
      <w:r>
        <w:rPr>
          <w:rFonts w:ascii="Times New Roman"/>
          <w:b w:val="false"/>
          <w:i w:val="false"/>
          <w:color w:val="000000"/>
          <w:sz w:val="28"/>
        </w:rPr>
        <w:t>
      Страховая организация, в порядке, установленном внутренними документами, ежегодно корректирует программу повышения финансовой грамотности с учетом результатов ее оценки и выявленных поведенческих рисков.</w:t>
      </w:r>
    </w:p>
    <w:bookmarkEnd w:id="36"/>
    <w:bookmarkStart w:name="z42" w:id="37"/>
    <w:p>
      <w:pPr>
        <w:spacing w:after="0"/>
        <w:ind w:left="0"/>
        <w:jc w:val="both"/>
      </w:pPr>
      <w:r>
        <w:rPr>
          <w:rFonts w:ascii="Times New Roman"/>
          <w:b w:val="false"/>
          <w:i w:val="false"/>
          <w:color w:val="000000"/>
          <w:sz w:val="28"/>
        </w:rPr>
        <w:t>
      30. Страховая организация обеспечивает рассмотрение обращений страхователей в порядке, установленном настоящими Требованиями, а также политикой и процедурами соблюдения прав и законных интересов страхователей страховой организации.</w:t>
      </w:r>
    </w:p>
    <w:bookmarkEnd w:id="37"/>
    <w:bookmarkStart w:name="z43" w:id="38"/>
    <w:p>
      <w:pPr>
        <w:spacing w:after="0"/>
        <w:ind w:left="0"/>
        <w:jc w:val="both"/>
      </w:pPr>
      <w:r>
        <w:rPr>
          <w:rFonts w:ascii="Times New Roman"/>
          <w:b w:val="false"/>
          <w:i w:val="false"/>
          <w:color w:val="000000"/>
          <w:sz w:val="28"/>
        </w:rPr>
        <w:t>
      Политика и процедуры соблюдения прав и законных интересов страхователей утверждаются страховой организацией и определяют, в том числе:</w:t>
      </w:r>
    </w:p>
    <w:bookmarkEnd w:id="38"/>
    <w:bookmarkStart w:name="z44" w:id="39"/>
    <w:p>
      <w:pPr>
        <w:spacing w:after="0"/>
        <w:ind w:left="0"/>
        <w:jc w:val="both"/>
      </w:pPr>
      <w:r>
        <w:rPr>
          <w:rFonts w:ascii="Times New Roman"/>
          <w:b w:val="false"/>
          <w:i w:val="false"/>
          <w:color w:val="000000"/>
          <w:sz w:val="28"/>
        </w:rPr>
        <w:t>
      1) ответственность органа управления и исполнительного органа за соблюдение прав и законных интересов страхователей;</w:t>
      </w:r>
    </w:p>
    <w:bookmarkEnd w:id="39"/>
    <w:bookmarkStart w:name="z45" w:id="40"/>
    <w:p>
      <w:pPr>
        <w:spacing w:after="0"/>
        <w:ind w:left="0"/>
        <w:jc w:val="both"/>
      </w:pPr>
      <w:r>
        <w:rPr>
          <w:rFonts w:ascii="Times New Roman"/>
          <w:b w:val="false"/>
          <w:i w:val="false"/>
          <w:color w:val="000000"/>
          <w:sz w:val="28"/>
        </w:rPr>
        <w:t>
      2) распределение функций, полномочий и ответственности работников и подразделений страховой организации, участвующих в рассмотрении обращений;</w:t>
      </w:r>
    </w:p>
    <w:bookmarkEnd w:id="40"/>
    <w:bookmarkStart w:name="z46" w:id="41"/>
    <w:p>
      <w:pPr>
        <w:spacing w:after="0"/>
        <w:ind w:left="0"/>
        <w:jc w:val="both"/>
      </w:pPr>
      <w:r>
        <w:rPr>
          <w:rFonts w:ascii="Times New Roman"/>
          <w:b w:val="false"/>
          <w:i w:val="false"/>
          <w:color w:val="000000"/>
          <w:sz w:val="28"/>
        </w:rPr>
        <w:t>
      3) требования к профессиональной компетенции работников и страховых агентов при взаимодействии со страхователями;</w:t>
      </w:r>
    </w:p>
    <w:bookmarkEnd w:id="41"/>
    <w:bookmarkStart w:name="z47" w:id="42"/>
    <w:p>
      <w:pPr>
        <w:spacing w:after="0"/>
        <w:ind w:left="0"/>
        <w:jc w:val="both"/>
      </w:pPr>
      <w:r>
        <w:rPr>
          <w:rFonts w:ascii="Times New Roman"/>
          <w:b w:val="false"/>
          <w:i w:val="false"/>
          <w:color w:val="000000"/>
          <w:sz w:val="28"/>
        </w:rPr>
        <w:t>
      4) раздел о порядке предоставления услуг лицам с инвалидностью и маломобильным группам населения с учетом требований национального стандарта в сфере доступности отделений финансовых организаций по предоставлению услуг лицам с инвалидностью и другим маломобильным группам населения, включая особенности взаимодействия, доступные формы получения информации и возможность участия доверенного лица;</w:t>
      </w:r>
    </w:p>
    <w:bookmarkEnd w:id="42"/>
    <w:bookmarkStart w:name="z48" w:id="43"/>
    <w:p>
      <w:pPr>
        <w:spacing w:after="0"/>
        <w:ind w:left="0"/>
        <w:jc w:val="both"/>
      </w:pPr>
      <w:r>
        <w:rPr>
          <w:rFonts w:ascii="Times New Roman"/>
          <w:b w:val="false"/>
          <w:i w:val="false"/>
          <w:color w:val="000000"/>
          <w:sz w:val="28"/>
        </w:rPr>
        <w:t>
      5) порядок урегулирования споров и взаимодействия с финансовым омбудсманом;</w:t>
      </w:r>
    </w:p>
    <w:bookmarkEnd w:id="43"/>
    <w:bookmarkStart w:name="z49" w:id="44"/>
    <w:p>
      <w:pPr>
        <w:spacing w:after="0"/>
        <w:ind w:left="0"/>
        <w:jc w:val="both"/>
      </w:pPr>
      <w:r>
        <w:rPr>
          <w:rFonts w:ascii="Times New Roman"/>
          <w:b w:val="false"/>
          <w:i w:val="false"/>
          <w:color w:val="000000"/>
          <w:sz w:val="28"/>
        </w:rPr>
        <w:t xml:space="preserve">
      6) меры по предотвращению недобросовестных практик; </w:t>
      </w:r>
    </w:p>
    <w:bookmarkEnd w:id="44"/>
    <w:bookmarkStart w:name="z50" w:id="45"/>
    <w:p>
      <w:pPr>
        <w:spacing w:after="0"/>
        <w:ind w:left="0"/>
        <w:jc w:val="both"/>
      </w:pPr>
      <w:r>
        <w:rPr>
          <w:rFonts w:ascii="Times New Roman"/>
          <w:b w:val="false"/>
          <w:i w:val="false"/>
          <w:color w:val="000000"/>
          <w:sz w:val="28"/>
        </w:rPr>
        <w:t>
      7) иные положения, не противоречащие законодательству Республики Казахстан.</w:t>
      </w:r>
    </w:p>
    <w:bookmarkEnd w:id="45"/>
    <w:bookmarkStart w:name="z51" w:id="46"/>
    <w:p>
      <w:pPr>
        <w:spacing w:after="0"/>
        <w:ind w:left="0"/>
        <w:jc w:val="both"/>
      </w:pPr>
      <w:r>
        <w:rPr>
          <w:rFonts w:ascii="Times New Roman"/>
          <w:b w:val="false"/>
          <w:i w:val="false"/>
          <w:color w:val="000000"/>
          <w:sz w:val="28"/>
        </w:rPr>
        <w:t xml:space="preserve">
      Рассмотрение страховой организацией обращений страхователей осуществляется в соответствии с политикой и процедурами соблюдения прав и законных интересов страхователей, а также внутренним порядком рассмотрения обращений клиентов, поступивших в процессе предоставления страховых услуг,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и включает работу со следующими обращениями страхователей:</w:t>
      </w:r>
    </w:p>
    <w:bookmarkEnd w:id="46"/>
    <w:bookmarkStart w:name="z52" w:id="47"/>
    <w:p>
      <w:pPr>
        <w:spacing w:after="0"/>
        <w:ind w:left="0"/>
        <w:jc w:val="both"/>
      </w:pPr>
      <w:r>
        <w:rPr>
          <w:rFonts w:ascii="Times New Roman"/>
          <w:b w:val="false"/>
          <w:i w:val="false"/>
          <w:color w:val="000000"/>
          <w:sz w:val="28"/>
        </w:rPr>
        <w:t>
      письменными обращениями, поступившими нарочно, по почте, электронной почте либо посредством интернет-ресурса или мобильного приложения страховой организации, в которых предусмотрен сервис подачи обращения физическим или юридическим лицом по вопросам предоставления страховых продуктов;</w:t>
      </w:r>
    </w:p>
    <w:bookmarkEnd w:id="47"/>
    <w:bookmarkStart w:name="z53" w:id="48"/>
    <w:p>
      <w:pPr>
        <w:spacing w:after="0"/>
        <w:ind w:left="0"/>
        <w:jc w:val="both"/>
      </w:pPr>
      <w:r>
        <w:rPr>
          <w:rFonts w:ascii="Times New Roman"/>
          <w:b w:val="false"/>
          <w:i w:val="false"/>
          <w:color w:val="000000"/>
          <w:sz w:val="28"/>
        </w:rPr>
        <w:t>
      устными обращениями, поступившими по телефону либо при личном посещении страхователем офиса страховой организации.</w:t>
      </w:r>
    </w:p>
    <w:bookmarkEnd w:id="48"/>
    <w:bookmarkStart w:name="z54" w:id="49"/>
    <w:p>
      <w:pPr>
        <w:spacing w:after="0"/>
        <w:ind w:left="0"/>
        <w:jc w:val="both"/>
      </w:pPr>
      <w:r>
        <w:rPr>
          <w:rFonts w:ascii="Times New Roman"/>
          <w:b w:val="false"/>
          <w:i w:val="false"/>
          <w:color w:val="000000"/>
          <w:sz w:val="28"/>
        </w:rPr>
        <w:t>
      Сообщения, направленные посредством системы обмена сообщениями в реальном времени на интернет-ресурсе и (или) мобильном приложении и (или) поступившие на абонентские номера, зарегистрированные на страховую организацию, не признаются обращениями страхователей и рассматриваются как запросы информационного характера. В случае направления страхователем посредством системы обмена сообщениями в реальном времени жалобы, требования или несогласия с действиями (бездействием) страховой организации, страхователю разъясняется порядок подачи обращения в соответствии с настоящими Требованиями.</w:t>
      </w:r>
    </w:p>
    <w:bookmarkEnd w:id="49"/>
    <w:bookmarkStart w:name="z55" w:id="50"/>
    <w:p>
      <w:pPr>
        <w:spacing w:after="0"/>
        <w:ind w:left="0"/>
        <w:jc w:val="both"/>
      </w:pPr>
      <w:r>
        <w:rPr>
          <w:rFonts w:ascii="Times New Roman"/>
          <w:b w:val="false"/>
          <w:i w:val="false"/>
          <w:color w:val="000000"/>
          <w:sz w:val="28"/>
        </w:rPr>
        <w:t>
      Не относятся к обращениям страхователей следующие обращения:</w:t>
      </w:r>
    </w:p>
    <w:bookmarkEnd w:id="50"/>
    <w:bookmarkStart w:name="z56" w:id="51"/>
    <w:p>
      <w:pPr>
        <w:spacing w:after="0"/>
        <w:ind w:left="0"/>
        <w:jc w:val="both"/>
      </w:pPr>
      <w:r>
        <w:rPr>
          <w:rFonts w:ascii="Times New Roman"/>
          <w:b w:val="false"/>
          <w:i w:val="false"/>
          <w:color w:val="000000"/>
          <w:sz w:val="28"/>
        </w:rPr>
        <w:t>
      1) обращения работников страховой организации к работодателю по трудовым и социальным вопросам, если они не связаны с предоставлением страховых услуг, за исключением случаев, когда работник одновременно является страхователем;</w:t>
      </w:r>
    </w:p>
    <w:bookmarkEnd w:id="51"/>
    <w:bookmarkStart w:name="z57" w:id="52"/>
    <w:p>
      <w:pPr>
        <w:spacing w:after="0"/>
        <w:ind w:left="0"/>
        <w:jc w:val="both"/>
      </w:pPr>
      <w:r>
        <w:rPr>
          <w:rFonts w:ascii="Times New Roman"/>
          <w:b w:val="false"/>
          <w:i w:val="false"/>
          <w:color w:val="000000"/>
          <w:sz w:val="28"/>
        </w:rPr>
        <w:t>
      2) корпоративные конфликты и споры между акционерами, участниками, членами органов управления и страховой организацией, не связанные с оказанием страховых услуг;</w:t>
      </w:r>
    </w:p>
    <w:bookmarkEnd w:id="52"/>
    <w:bookmarkStart w:name="z58" w:id="53"/>
    <w:p>
      <w:pPr>
        <w:spacing w:after="0"/>
        <w:ind w:left="0"/>
        <w:jc w:val="both"/>
      </w:pPr>
      <w:r>
        <w:rPr>
          <w:rFonts w:ascii="Times New Roman"/>
          <w:b w:val="false"/>
          <w:i w:val="false"/>
          <w:color w:val="000000"/>
          <w:sz w:val="28"/>
        </w:rPr>
        <w:t>
      3) обращения контрагентов, не являющихся страхователями, по договорам страхования, не относящимся к оказанию страховых услуг (аренда, поставка, подряд, аутсорсинг, ИТ-сопровождение);</w:t>
      </w:r>
    </w:p>
    <w:bookmarkEnd w:id="53"/>
    <w:bookmarkStart w:name="z59" w:id="54"/>
    <w:p>
      <w:pPr>
        <w:spacing w:after="0"/>
        <w:ind w:left="0"/>
        <w:jc w:val="both"/>
      </w:pPr>
      <w:r>
        <w:rPr>
          <w:rFonts w:ascii="Times New Roman"/>
          <w:b w:val="false"/>
          <w:i w:val="false"/>
          <w:color w:val="000000"/>
          <w:sz w:val="28"/>
        </w:rPr>
        <w:t>
      4) запросы информации или разъяснений законодательства Республики Казахстан, не содержащие выражения неудовлетворенности действиями страховой организации;</w:t>
      </w:r>
    </w:p>
    <w:bookmarkEnd w:id="54"/>
    <w:bookmarkStart w:name="z60" w:id="55"/>
    <w:p>
      <w:pPr>
        <w:spacing w:after="0"/>
        <w:ind w:left="0"/>
        <w:jc w:val="both"/>
      </w:pPr>
      <w:r>
        <w:rPr>
          <w:rFonts w:ascii="Times New Roman"/>
          <w:b w:val="false"/>
          <w:i w:val="false"/>
          <w:color w:val="000000"/>
          <w:sz w:val="28"/>
        </w:rPr>
        <w:t>
      5) запросы, связанные с предоставлением страховой организацией отчетности (налоговая, статистическая или другая), если не содержат сведений о нарушении прав и законных интересов страхователя;</w:t>
      </w:r>
    </w:p>
    <w:bookmarkEnd w:id="55"/>
    <w:bookmarkStart w:name="z61" w:id="56"/>
    <w:p>
      <w:pPr>
        <w:spacing w:after="0"/>
        <w:ind w:left="0"/>
        <w:jc w:val="both"/>
      </w:pPr>
      <w:r>
        <w:rPr>
          <w:rFonts w:ascii="Times New Roman"/>
          <w:b w:val="false"/>
          <w:i w:val="false"/>
          <w:color w:val="000000"/>
          <w:sz w:val="28"/>
        </w:rPr>
        <w:t>
      6) обращения о предполагаемых нарушениях законодательства Республики Казахстан, коррупции, злоупотреблениях без указания нарушения прав конкретного страхователя;</w:t>
      </w:r>
    </w:p>
    <w:bookmarkEnd w:id="56"/>
    <w:bookmarkStart w:name="z62" w:id="57"/>
    <w:p>
      <w:pPr>
        <w:spacing w:after="0"/>
        <w:ind w:left="0"/>
        <w:jc w:val="both"/>
      </w:pPr>
      <w:r>
        <w:rPr>
          <w:rFonts w:ascii="Times New Roman"/>
          <w:b w:val="false"/>
          <w:i w:val="false"/>
          <w:color w:val="000000"/>
          <w:sz w:val="28"/>
        </w:rPr>
        <w:t>
      7) обращения средств массовой информации, профессиональных и общественных объединений, не являющихся страхователями по конкретному договору страхования, за исключением обращений в интересах конкретного страхователя;</w:t>
      </w:r>
    </w:p>
    <w:bookmarkEnd w:id="57"/>
    <w:bookmarkStart w:name="z63" w:id="58"/>
    <w:p>
      <w:pPr>
        <w:spacing w:after="0"/>
        <w:ind w:left="0"/>
        <w:jc w:val="both"/>
      </w:pPr>
      <w:r>
        <w:rPr>
          <w:rFonts w:ascii="Times New Roman"/>
          <w:b w:val="false"/>
          <w:i w:val="false"/>
          <w:color w:val="000000"/>
          <w:sz w:val="28"/>
        </w:rPr>
        <w:t>
      8) переписка с государственными органами по вопросам контроля, надзора и правоприменения, не содержащая самостоятельных обращений страхователей;</w:t>
      </w:r>
    </w:p>
    <w:bookmarkEnd w:id="58"/>
    <w:bookmarkStart w:name="z64" w:id="59"/>
    <w:p>
      <w:pPr>
        <w:spacing w:after="0"/>
        <w:ind w:left="0"/>
        <w:jc w:val="both"/>
      </w:pPr>
      <w:r>
        <w:rPr>
          <w:rFonts w:ascii="Times New Roman"/>
          <w:b w:val="false"/>
          <w:i w:val="false"/>
          <w:color w:val="000000"/>
          <w:sz w:val="28"/>
        </w:rPr>
        <w:t>
      9) обращения, не позволяющие установить их содержание и (или) требования заявителя (нечитаемые тексты, бессвязные сообщения или массовые автоматизированные рассылки).</w:t>
      </w:r>
    </w:p>
    <w:bookmarkEnd w:id="59"/>
    <w:bookmarkStart w:name="z65" w:id="60"/>
    <w:p>
      <w:pPr>
        <w:spacing w:after="0"/>
        <w:ind w:left="0"/>
        <w:jc w:val="both"/>
      </w:pPr>
      <w:r>
        <w:rPr>
          <w:rFonts w:ascii="Times New Roman"/>
          <w:b w:val="false"/>
          <w:i w:val="false"/>
          <w:color w:val="000000"/>
          <w:sz w:val="28"/>
        </w:rPr>
        <w:t>
      Уполномоченные лица страховой организации проводят личный прием физических лиц и представителей юридических лиц не реже одного раза в месяц согласно утвержденному графику приема в том числе в филиалах и представительствах. Если обращение не может быть разрешено во время личного приема и требует дополнительной проработки, оно оформляется страхователем в письменной форме и рассматривается как письменное обращение.</w:t>
      </w:r>
    </w:p>
    <w:bookmarkEnd w:id="60"/>
    <w:bookmarkStart w:name="z66" w:id="61"/>
    <w:p>
      <w:pPr>
        <w:spacing w:after="0"/>
        <w:ind w:left="0"/>
        <w:jc w:val="both"/>
      </w:pPr>
      <w:r>
        <w:rPr>
          <w:rFonts w:ascii="Times New Roman"/>
          <w:b w:val="false"/>
          <w:i w:val="false"/>
          <w:color w:val="000000"/>
          <w:sz w:val="28"/>
        </w:rPr>
        <w:t>
      Устные обращения по телефону подлежат обязательной регистрации, запись разговоров производится с согласия страхователя при уведомлении об этом в начале разговора. Обращения, поступившие в страховую организацию в устной форме (по телефону либо при личном посещении), рассматриваются в момент обращения. Если устное обращение не может быть разрешено в момент обращения, страхователю разъясняется порядок подачи письменного обращения и сроки его рассмотрения.</w:t>
      </w:r>
    </w:p>
    <w:bookmarkEnd w:id="61"/>
    <w:bookmarkStart w:name="z67" w:id="62"/>
    <w:p>
      <w:pPr>
        <w:spacing w:after="0"/>
        <w:ind w:left="0"/>
        <w:jc w:val="both"/>
      </w:pPr>
      <w:r>
        <w:rPr>
          <w:rFonts w:ascii="Times New Roman"/>
          <w:b w:val="false"/>
          <w:i w:val="false"/>
          <w:color w:val="000000"/>
          <w:sz w:val="28"/>
        </w:rPr>
        <w:t>
      Письменные обращения страхователей, в том числе обращения, поступившие через интернет-ресурс или мобильное приложение страховой организации, регистрируются в порядке, установленном внутренними документами страховой организации. Страхователь получает документ, подтверждающий прием письменного обращения, либо делается отметка на копии обращения. Отказ в приеме обращений не допускается.</w:t>
      </w:r>
    </w:p>
    <w:bookmarkEnd w:id="62"/>
    <w:bookmarkStart w:name="z68" w:id="63"/>
    <w:p>
      <w:pPr>
        <w:spacing w:after="0"/>
        <w:ind w:left="0"/>
        <w:jc w:val="both"/>
      </w:pPr>
      <w:r>
        <w:rPr>
          <w:rFonts w:ascii="Times New Roman"/>
          <w:b w:val="false"/>
          <w:i w:val="false"/>
          <w:color w:val="000000"/>
          <w:sz w:val="28"/>
        </w:rPr>
        <w:t>
      При недостаточности информации для рассмотрения обращения страховая организация запрашивает у страхователя дополнительные документы и сведения.</w:t>
      </w:r>
    </w:p>
    <w:bookmarkEnd w:id="63"/>
    <w:bookmarkStart w:name="z69" w:id="64"/>
    <w:p>
      <w:pPr>
        <w:spacing w:after="0"/>
        <w:ind w:left="0"/>
        <w:jc w:val="both"/>
      </w:pPr>
      <w:r>
        <w:rPr>
          <w:rFonts w:ascii="Times New Roman"/>
          <w:b w:val="false"/>
          <w:i w:val="false"/>
          <w:color w:val="000000"/>
          <w:sz w:val="28"/>
        </w:rPr>
        <w:t>
      Страховая организация обеспечивает объективное, всестороннее и своевременное рассмотрение обращений и информирует страхователя о результатах и принятых мерах.</w:t>
      </w:r>
    </w:p>
    <w:bookmarkEnd w:id="64"/>
    <w:bookmarkStart w:name="z70" w:id="65"/>
    <w:p>
      <w:pPr>
        <w:spacing w:after="0"/>
        <w:ind w:left="0"/>
        <w:jc w:val="both"/>
      </w:pPr>
      <w:r>
        <w:rPr>
          <w:rFonts w:ascii="Times New Roman"/>
          <w:b w:val="false"/>
          <w:i w:val="false"/>
          <w:color w:val="000000"/>
          <w:sz w:val="28"/>
        </w:rPr>
        <w:t>
      Письменный ответ предоставляется на языке обращения и содержит:</w:t>
      </w:r>
    </w:p>
    <w:bookmarkEnd w:id="65"/>
    <w:bookmarkStart w:name="z71" w:id="66"/>
    <w:p>
      <w:pPr>
        <w:spacing w:after="0"/>
        <w:ind w:left="0"/>
        <w:jc w:val="both"/>
      </w:pPr>
      <w:r>
        <w:rPr>
          <w:rFonts w:ascii="Times New Roman"/>
          <w:b w:val="false"/>
          <w:i w:val="false"/>
          <w:color w:val="000000"/>
          <w:sz w:val="28"/>
        </w:rPr>
        <w:t>
      обоснованные и мотивированные доводы по каждому вопросу;</w:t>
      </w:r>
    </w:p>
    <w:bookmarkEnd w:id="66"/>
    <w:bookmarkStart w:name="z72" w:id="67"/>
    <w:p>
      <w:pPr>
        <w:spacing w:after="0"/>
        <w:ind w:left="0"/>
        <w:jc w:val="both"/>
      </w:pPr>
      <w:r>
        <w:rPr>
          <w:rFonts w:ascii="Times New Roman"/>
          <w:b w:val="false"/>
          <w:i w:val="false"/>
          <w:color w:val="000000"/>
          <w:sz w:val="28"/>
        </w:rPr>
        <w:t>
      ссылки на законодательство Республики Казахстан, внутренние документы страховой организации и условия договора страхования;</w:t>
      </w:r>
    </w:p>
    <w:bookmarkEnd w:id="67"/>
    <w:bookmarkStart w:name="z73" w:id="68"/>
    <w:p>
      <w:pPr>
        <w:spacing w:after="0"/>
        <w:ind w:left="0"/>
        <w:jc w:val="both"/>
      </w:pPr>
      <w:r>
        <w:rPr>
          <w:rFonts w:ascii="Times New Roman"/>
          <w:b w:val="false"/>
          <w:i w:val="false"/>
          <w:color w:val="000000"/>
          <w:sz w:val="28"/>
        </w:rPr>
        <w:t>
      описание установленных фактических обстоятельств;</w:t>
      </w:r>
    </w:p>
    <w:bookmarkEnd w:id="68"/>
    <w:bookmarkStart w:name="z74" w:id="69"/>
    <w:p>
      <w:pPr>
        <w:spacing w:after="0"/>
        <w:ind w:left="0"/>
        <w:jc w:val="both"/>
      </w:pPr>
      <w:r>
        <w:rPr>
          <w:rFonts w:ascii="Times New Roman"/>
          <w:b w:val="false"/>
          <w:i w:val="false"/>
          <w:color w:val="000000"/>
          <w:sz w:val="28"/>
        </w:rPr>
        <w:t>
      разъяснение права на обжалование решения.</w:t>
      </w:r>
    </w:p>
    <w:bookmarkEnd w:id="69"/>
    <w:bookmarkStart w:name="z75" w:id="70"/>
    <w:p>
      <w:pPr>
        <w:spacing w:after="0"/>
        <w:ind w:left="0"/>
        <w:jc w:val="both"/>
      </w:pPr>
      <w:r>
        <w:rPr>
          <w:rFonts w:ascii="Times New Roman"/>
          <w:b w:val="false"/>
          <w:i w:val="false"/>
          <w:color w:val="000000"/>
          <w:sz w:val="28"/>
        </w:rPr>
        <w:t>
      Ответ подписывается уполномоченным лицом и передается страхователю способом, предусмотренным договором страхования. Допускается использование средств факсимильного копирования подписи или иного способа, предусмотренного внутренними нормативными документами страховой организации. При личной явке ответ вручается под роспись страхователю или его представителю с отметкой в журнале регистрации.</w:t>
      </w:r>
    </w:p>
    <w:bookmarkEnd w:id="70"/>
    <w:bookmarkStart w:name="z76" w:id="71"/>
    <w:p>
      <w:pPr>
        <w:spacing w:after="0"/>
        <w:ind w:left="0"/>
        <w:jc w:val="both"/>
      </w:pPr>
      <w:r>
        <w:rPr>
          <w:rFonts w:ascii="Times New Roman"/>
          <w:b w:val="false"/>
          <w:i w:val="false"/>
          <w:color w:val="000000"/>
          <w:sz w:val="28"/>
        </w:rPr>
        <w:t>
      Страховая организация ведет классификатор поступивших обращений, обеспечивающий:</w:t>
      </w:r>
    </w:p>
    <w:bookmarkEnd w:id="71"/>
    <w:bookmarkStart w:name="z77" w:id="72"/>
    <w:p>
      <w:pPr>
        <w:spacing w:after="0"/>
        <w:ind w:left="0"/>
        <w:jc w:val="both"/>
      </w:pPr>
      <w:r>
        <w:rPr>
          <w:rFonts w:ascii="Times New Roman"/>
          <w:b w:val="false"/>
          <w:i w:val="false"/>
          <w:color w:val="000000"/>
          <w:sz w:val="28"/>
        </w:rPr>
        <w:t>
      регистрацию всех письменных обращений;</w:t>
      </w:r>
    </w:p>
    <w:bookmarkEnd w:id="72"/>
    <w:bookmarkStart w:name="z78" w:id="73"/>
    <w:p>
      <w:pPr>
        <w:spacing w:after="0"/>
        <w:ind w:left="0"/>
        <w:jc w:val="both"/>
      </w:pPr>
      <w:r>
        <w:rPr>
          <w:rFonts w:ascii="Times New Roman"/>
          <w:b w:val="false"/>
          <w:i w:val="false"/>
          <w:color w:val="000000"/>
          <w:sz w:val="28"/>
        </w:rPr>
        <w:t>
      основную информацию по обращению;</w:t>
      </w:r>
    </w:p>
    <w:bookmarkEnd w:id="73"/>
    <w:bookmarkStart w:name="z79" w:id="74"/>
    <w:p>
      <w:pPr>
        <w:spacing w:after="0"/>
        <w:ind w:left="0"/>
        <w:jc w:val="both"/>
      </w:pPr>
      <w:r>
        <w:rPr>
          <w:rFonts w:ascii="Times New Roman"/>
          <w:b w:val="false"/>
          <w:i w:val="false"/>
          <w:color w:val="000000"/>
          <w:sz w:val="28"/>
        </w:rPr>
        <w:t>
      классификацию обращений согласно требованиям внутреннего порядка рассмотрения обращений клиентов, поступивших в процессе предоставления страховых услуг;</w:t>
      </w:r>
    </w:p>
    <w:bookmarkEnd w:id="74"/>
    <w:bookmarkStart w:name="z80" w:id="75"/>
    <w:p>
      <w:pPr>
        <w:spacing w:after="0"/>
        <w:ind w:left="0"/>
        <w:jc w:val="both"/>
      </w:pPr>
      <w:r>
        <w:rPr>
          <w:rFonts w:ascii="Times New Roman"/>
          <w:b w:val="false"/>
          <w:i w:val="false"/>
          <w:color w:val="000000"/>
          <w:sz w:val="28"/>
        </w:rPr>
        <w:t>
      хранение информации не менее 5 (пяти) лет.</w:t>
      </w:r>
    </w:p>
    <w:bookmarkEnd w:id="75"/>
    <w:bookmarkStart w:name="z81" w:id="76"/>
    <w:p>
      <w:pPr>
        <w:spacing w:after="0"/>
        <w:ind w:left="0"/>
        <w:jc w:val="both"/>
      </w:pPr>
      <w:r>
        <w:rPr>
          <w:rFonts w:ascii="Times New Roman"/>
          <w:b w:val="false"/>
          <w:i w:val="false"/>
          <w:color w:val="000000"/>
          <w:sz w:val="28"/>
        </w:rPr>
        <w:t>
      Основная информация по обращению включает:</w:t>
      </w:r>
    </w:p>
    <w:bookmarkEnd w:id="76"/>
    <w:bookmarkStart w:name="z82" w:id="77"/>
    <w:p>
      <w:pPr>
        <w:spacing w:after="0"/>
        <w:ind w:left="0"/>
        <w:jc w:val="both"/>
      </w:pPr>
      <w:r>
        <w:rPr>
          <w:rFonts w:ascii="Times New Roman"/>
          <w:b w:val="false"/>
          <w:i w:val="false"/>
          <w:color w:val="000000"/>
          <w:sz w:val="28"/>
        </w:rPr>
        <w:t>
      для физических лиц: фамилия, имя и отчество (если оно указано в документе, удостоверяющем личность) страхователя (выгодоприобретателя), индивидуальный идентификационный номер, место жительства и контактные данные;</w:t>
      </w:r>
    </w:p>
    <w:bookmarkEnd w:id="77"/>
    <w:bookmarkStart w:name="z83" w:id="78"/>
    <w:p>
      <w:pPr>
        <w:spacing w:after="0"/>
        <w:ind w:left="0"/>
        <w:jc w:val="both"/>
      </w:pPr>
      <w:r>
        <w:rPr>
          <w:rFonts w:ascii="Times New Roman"/>
          <w:b w:val="false"/>
          <w:i w:val="false"/>
          <w:color w:val="000000"/>
          <w:sz w:val="28"/>
        </w:rPr>
        <w:t>
      для юридического лица: наименование, бизнес-идентификационный номер, место нахождения и контактные данные;</w:t>
      </w:r>
    </w:p>
    <w:bookmarkEnd w:id="78"/>
    <w:bookmarkStart w:name="z84" w:id="79"/>
    <w:p>
      <w:pPr>
        <w:spacing w:after="0"/>
        <w:ind w:left="0"/>
        <w:jc w:val="both"/>
      </w:pPr>
      <w:r>
        <w:rPr>
          <w:rFonts w:ascii="Times New Roman"/>
          <w:b w:val="false"/>
          <w:i w:val="false"/>
          <w:color w:val="000000"/>
          <w:sz w:val="28"/>
        </w:rPr>
        <w:t>
      информацию о классе страхования;</w:t>
      </w:r>
    </w:p>
    <w:bookmarkEnd w:id="79"/>
    <w:bookmarkStart w:name="z85" w:id="80"/>
    <w:p>
      <w:pPr>
        <w:spacing w:after="0"/>
        <w:ind w:left="0"/>
        <w:jc w:val="both"/>
      </w:pPr>
      <w:r>
        <w:rPr>
          <w:rFonts w:ascii="Times New Roman"/>
          <w:b w:val="false"/>
          <w:i w:val="false"/>
          <w:color w:val="000000"/>
          <w:sz w:val="28"/>
        </w:rPr>
        <w:t>
      вид страхования;</w:t>
      </w:r>
    </w:p>
    <w:bookmarkEnd w:id="80"/>
    <w:bookmarkStart w:name="z86" w:id="81"/>
    <w:p>
      <w:pPr>
        <w:spacing w:after="0"/>
        <w:ind w:left="0"/>
        <w:jc w:val="both"/>
      </w:pPr>
      <w:r>
        <w:rPr>
          <w:rFonts w:ascii="Times New Roman"/>
          <w:b w:val="false"/>
          <w:i w:val="false"/>
          <w:color w:val="000000"/>
          <w:sz w:val="28"/>
        </w:rPr>
        <w:t>
      регистрационный номер и дату обращения;</w:t>
      </w:r>
    </w:p>
    <w:bookmarkEnd w:id="81"/>
    <w:bookmarkStart w:name="z87" w:id="82"/>
    <w:p>
      <w:pPr>
        <w:spacing w:after="0"/>
        <w:ind w:left="0"/>
        <w:jc w:val="both"/>
      </w:pPr>
      <w:r>
        <w:rPr>
          <w:rFonts w:ascii="Times New Roman"/>
          <w:b w:val="false"/>
          <w:i w:val="false"/>
          <w:color w:val="000000"/>
          <w:sz w:val="28"/>
        </w:rPr>
        <w:t>
      канал поступления обращения;</w:t>
      </w:r>
    </w:p>
    <w:bookmarkEnd w:id="82"/>
    <w:bookmarkStart w:name="z88" w:id="83"/>
    <w:p>
      <w:pPr>
        <w:spacing w:after="0"/>
        <w:ind w:left="0"/>
        <w:jc w:val="both"/>
      </w:pPr>
      <w:r>
        <w:rPr>
          <w:rFonts w:ascii="Times New Roman"/>
          <w:b w:val="false"/>
          <w:i w:val="false"/>
          <w:color w:val="000000"/>
          <w:sz w:val="28"/>
        </w:rPr>
        <w:t>
      тип страхового продукта;</w:t>
      </w:r>
    </w:p>
    <w:bookmarkEnd w:id="83"/>
    <w:bookmarkStart w:name="z89" w:id="84"/>
    <w:p>
      <w:pPr>
        <w:spacing w:after="0"/>
        <w:ind w:left="0"/>
        <w:jc w:val="both"/>
      </w:pPr>
      <w:r>
        <w:rPr>
          <w:rFonts w:ascii="Times New Roman"/>
          <w:b w:val="false"/>
          <w:i w:val="false"/>
          <w:color w:val="000000"/>
          <w:sz w:val="28"/>
        </w:rPr>
        <w:t>
      классификатор вопроса;</w:t>
      </w:r>
    </w:p>
    <w:bookmarkEnd w:id="84"/>
    <w:bookmarkStart w:name="z90" w:id="85"/>
    <w:p>
      <w:pPr>
        <w:spacing w:after="0"/>
        <w:ind w:left="0"/>
        <w:jc w:val="both"/>
      </w:pPr>
      <w:r>
        <w:rPr>
          <w:rFonts w:ascii="Times New Roman"/>
          <w:b w:val="false"/>
          <w:i w:val="false"/>
          <w:color w:val="000000"/>
          <w:sz w:val="28"/>
        </w:rPr>
        <w:t>
      сведения об ответственных работниках;</w:t>
      </w:r>
    </w:p>
    <w:bookmarkEnd w:id="85"/>
    <w:bookmarkStart w:name="z91" w:id="86"/>
    <w:p>
      <w:pPr>
        <w:spacing w:after="0"/>
        <w:ind w:left="0"/>
        <w:jc w:val="both"/>
      </w:pPr>
      <w:r>
        <w:rPr>
          <w:rFonts w:ascii="Times New Roman"/>
          <w:b w:val="false"/>
          <w:i w:val="false"/>
          <w:color w:val="000000"/>
          <w:sz w:val="28"/>
        </w:rPr>
        <w:t>
      сведения о внутренних проверках;</w:t>
      </w:r>
    </w:p>
    <w:bookmarkEnd w:id="86"/>
    <w:bookmarkStart w:name="z92" w:id="87"/>
    <w:p>
      <w:pPr>
        <w:spacing w:after="0"/>
        <w:ind w:left="0"/>
        <w:jc w:val="both"/>
      </w:pPr>
      <w:r>
        <w:rPr>
          <w:rFonts w:ascii="Times New Roman"/>
          <w:b w:val="false"/>
          <w:i w:val="false"/>
          <w:color w:val="000000"/>
          <w:sz w:val="28"/>
        </w:rPr>
        <w:t>
      принятое решение.</w:t>
      </w:r>
    </w:p>
    <w:bookmarkEnd w:id="87"/>
    <w:bookmarkStart w:name="z93" w:id="88"/>
    <w:p>
      <w:pPr>
        <w:spacing w:after="0"/>
        <w:ind w:left="0"/>
        <w:jc w:val="both"/>
      </w:pPr>
      <w:r>
        <w:rPr>
          <w:rFonts w:ascii="Times New Roman"/>
          <w:b w:val="false"/>
          <w:i w:val="false"/>
          <w:color w:val="000000"/>
          <w:sz w:val="28"/>
        </w:rPr>
        <w:t>
      В целях соблюдения прав и интересов клиентов физических лиц страховая организация обеспечивает наличие подразделения, независимого от какой-либо деятельности структурных подразделений в функции которого входят:</w:t>
      </w:r>
    </w:p>
    <w:bookmarkEnd w:id="88"/>
    <w:bookmarkStart w:name="z94" w:id="89"/>
    <w:p>
      <w:pPr>
        <w:spacing w:after="0"/>
        <w:ind w:left="0"/>
        <w:jc w:val="both"/>
      </w:pPr>
      <w:r>
        <w:rPr>
          <w:rFonts w:ascii="Times New Roman"/>
          <w:b w:val="false"/>
          <w:i w:val="false"/>
          <w:color w:val="000000"/>
          <w:sz w:val="28"/>
        </w:rPr>
        <w:t>
      1) осуществление мониторинга соблюдения работниками и агентами организации политики и процедур соблюдения прав и интересов клиентов организации в соответствии с законодательством Республики Казахстан путем проведения контрольных закупок договоров страхования в порядке, установленном внутренними документами организации;</w:t>
      </w:r>
    </w:p>
    <w:bookmarkEnd w:id="89"/>
    <w:bookmarkStart w:name="z95" w:id="90"/>
    <w:p>
      <w:pPr>
        <w:spacing w:after="0"/>
        <w:ind w:left="0"/>
        <w:jc w:val="both"/>
      </w:pPr>
      <w:r>
        <w:rPr>
          <w:rFonts w:ascii="Times New Roman"/>
          <w:b w:val="false"/>
          <w:i w:val="false"/>
          <w:color w:val="000000"/>
          <w:sz w:val="28"/>
        </w:rPr>
        <w:t>
      2) проверка прозрачности условий страхования и корректности продаж (продажа неподходящих продуктов);</w:t>
      </w:r>
    </w:p>
    <w:bookmarkEnd w:id="90"/>
    <w:bookmarkStart w:name="z96" w:id="91"/>
    <w:p>
      <w:pPr>
        <w:spacing w:after="0"/>
        <w:ind w:left="0"/>
        <w:jc w:val="both"/>
      </w:pPr>
      <w:r>
        <w:rPr>
          <w:rFonts w:ascii="Times New Roman"/>
          <w:b w:val="false"/>
          <w:i w:val="false"/>
          <w:color w:val="000000"/>
          <w:sz w:val="28"/>
        </w:rPr>
        <w:t>
      3) предоставление управленческой отчетности совету директоров по вопросам соблюдения прав и интересов клиентов организации;</w:t>
      </w:r>
    </w:p>
    <w:bookmarkEnd w:id="91"/>
    <w:bookmarkStart w:name="z97" w:id="92"/>
    <w:p>
      <w:pPr>
        <w:spacing w:after="0"/>
        <w:ind w:left="0"/>
        <w:jc w:val="both"/>
      </w:pPr>
      <w:r>
        <w:rPr>
          <w:rFonts w:ascii="Times New Roman"/>
          <w:b w:val="false"/>
          <w:i w:val="false"/>
          <w:color w:val="000000"/>
          <w:sz w:val="28"/>
        </w:rPr>
        <w:t>
      4) анализ практик продвижения и рекламы страховых продуктов организации;</w:t>
      </w:r>
    </w:p>
    <w:bookmarkEnd w:id="92"/>
    <w:bookmarkStart w:name="z98" w:id="93"/>
    <w:p>
      <w:pPr>
        <w:spacing w:after="0"/>
        <w:ind w:left="0"/>
        <w:jc w:val="both"/>
      </w:pPr>
      <w:r>
        <w:rPr>
          <w:rFonts w:ascii="Times New Roman"/>
          <w:b w:val="false"/>
          <w:i w:val="false"/>
          <w:color w:val="000000"/>
          <w:sz w:val="28"/>
        </w:rPr>
        <w:t>
      5) мониторинг исполнения решений финансового омбудсмана;</w:t>
      </w:r>
    </w:p>
    <w:bookmarkEnd w:id="93"/>
    <w:bookmarkStart w:name="z99" w:id="94"/>
    <w:p>
      <w:pPr>
        <w:spacing w:after="0"/>
        <w:ind w:left="0"/>
        <w:jc w:val="both"/>
      </w:pPr>
      <w:r>
        <w:rPr>
          <w:rFonts w:ascii="Times New Roman"/>
          <w:b w:val="false"/>
          <w:i w:val="false"/>
          <w:color w:val="000000"/>
          <w:sz w:val="28"/>
        </w:rPr>
        <w:t>
      6) оценка эффективности процессов рассмотрения обращений, в том числе каналов для подачи обращений;</w:t>
      </w:r>
    </w:p>
    <w:bookmarkEnd w:id="94"/>
    <w:bookmarkStart w:name="z100" w:id="95"/>
    <w:p>
      <w:pPr>
        <w:spacing w:after="0"/>
        <w:ind w:left="0"/>
        <w:jc w:val="both"/>
      </w:pPr>
      <w:r>
        <w:rPr>
          <w:rFonts w:ascii="Times New Roman"/>
          <w:b w:val="false"/>
          <w:i w:val="false"/>
          <w:color w:val="000000"/>
          <w:sz w:val="28"/>
        </w:rPr>
        <w:t>
      7) проведение анализа обращений клиентов;</w:t>
      </w:r>
    </w:p>
    <w:bookmarkEnd w:id="95"/>
    <w:bookmarkStart w:name="z101" w:id="96"/>
    <w:p>
      <w:pPr>
        <w:spacing w:after="0"/>
        <w:ind w:left="0"/>
        <w:jc w:val="both"/>
      </w:pPr>
      <w:r>
        <w:rPr>
          <w:rFonts w:ascii="Times New Roman"/>
          <w:b w:val="false"/>
          <w:i w:val="false"/>
          <w:color w:val="000000"/>
          <w:sz w:val="28"/>
        </w:rPr>
        <w:t>
      8) выявление системных проблем в процессах предоставления страховых услуг, в том числе на интернет-ресурсе и в мобильном приложении;</w:t>
      </w:r>
    </w:p>
    <w:bookmarkEnd w:id="96"/>
    <w:bookmarkStart w:name="z102" w:id="97"/>
    <w:p>
      <w:pPr>
        <w:spacing w:after="0"/>
        <w:ind w:left="0"/>
        <w:jc w:val="both"/>
      </w:pPr>
      <w:r>
        <w:rPr>
          <w:rFonts w:ascii="Times New Roman"/>
          <w:b w:val="false"/>
          <w:i w:val="false"/>
          <w:color w:val="000000"/>
          <w:sz w:val="28"/>
        </w:rPr>
        <w:t>
      9) выработка предложений по повышению качества оказания страховых услуг, процессов рассмотрения обращений, в том числе заявлений о внесении изменений в договор страхования;</w:t>
      </w:r>
    </w:p>
    <w:bookmarkEnd w:id="97"/>
    <w:bookmarkStart w:name="z103" w:id="98"/>
    <w:p>
      <w:pPr>
        <w:spacing w:after="0"/>
        <w:ind w:left="0"/>
        <w:jc w:val="both"/>
      </w:pPr>
      <w:r>
        <w:rPr>
          <w:rFonts w:ascii="Times New Roman"/>
          <w:b w:val="false"/>
          <w:i w:val="false"/>
          <w:color w:val="000000"/>
          <w:sz w:val="28"/>
        </w:rPr>
        <w:t>
      10) идентификация и процедуры предотвращения недобросовестных практик.".</w:t>
      </w:r>
    </w:p>
    <w:bookmarkEnd w:id="98"/>
    <w:bookmarkStart w:name="z104" w:id="99"/>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99"/>
    <w:bookmarkStart w:name="z105" w:id="10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0"/>
    <w:bookmarkStart w:name="z106" w:id="10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01"/>
    <w:bookmarkStart w:name="z107" w:id="1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2"/>
    <w:bookmarkStart w:name="z108" w:id="10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3"/>
    <w:bookmarkStart w:name="z109" w:id="10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04"/>
    <w:bookmarkStart w:name="z110" w:id="105"/>
    <w:p>
      <w:pPr>
        <w:spacing w:after="0"/>
        <w:ind w:left="0"/>
        <w:jc w:val="both"/>
      </w:pPr>
      <w:r>
        <w:rPr>
          <w:rFonts w:ascii="Times New Roman"/>
          <w:b w:val="false"/>
          <w:i w:val="false"/>
          <w:color w:val="000000"/>
          <w:sz w:val="28"/>
        </w:rPr>
        <w:t xml:space="preserve">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июля 2026 года;</w:t>
      </w:r>
    </w:p>
    <w:bookmarkEnd w:id="105"/>
    <w:bookmarkStart w:name="z111" w:id="106"/>
    <w:p>
      <w:pPr>
        <w:spacing w:after="0"/>
        <w:ind w:left="0"/>
        <w:jc w:val="both"/>
      </w:pPr>
      <w:r>
        <w:rPr>
          <w:rFonts w:ascii="Times New Roman"/>
          <w:b w:val="false"/>
          <w:i w:val="false"/>
          <w:color w:val="000000"/>
          <w:sz w:val="28"/>
        </w:rPr>
        <w:t xml:space="preserve">
      абзаца сорок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который вводится в действие со 2 июля 2026 года.</w:t>
      </w:r>
    </w:p>
    <w:bookmarkEnd w:id="106"/>
    <w:bookmarkStart w:name="z112" w:id="107"/>
    <w:p>
      <w:pPr>
        <w:spacing w:after="0"/>
        <w:ind w:left="0"/>
        <w:jc w:val="both"/>
      </w:pPr>
      <w:r>
        <w:rPr>
          <w:rFonts w:ascii="Times New Roman"/>
          <w:b w:val="false"/>
          <w:i w:val="false"/>
          <w:color w:val="000000"/>
          <w:sz w:val="28"/>
        </w:rPr>
        <w:t>
      Приостановить до 1 января 2027 года действие:</w:t>
      </w:r>
    </w:p>
    <w:bookmarkEnd w:id="107"/>
    <w:bookmarkStart w:name="z113" w:id="108"/>
    <w:p>
      <w:pPr>
        <w:spacing w:after="0"/>
        <w:ind w:left="0"/>
        <w:jc w:val="both"/>
      </w:pPr>
      <w:r>
        <w:rPr>
          <w:rFonts w:ascii="Times New Roman"/>
          <w:b w:val="false"/>
          <w:i w:val="false"/>
          <w:color w:val="000000"/>
          <w:sz w:val="28"/>
        </w:rPr>
        <w:t xml:space="preserve">
      абзаца сорок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установив, что в период приостановления данный абзац действует в следующей редакции:</w:t>
      </w:r>
    </w:p>
    <w:bookmarkEnd w:id="108"/>
    <w:bookmarkStart w:name="z114" w:id="109"/>
    <w:p>
      <w:pPr>
        <w:spacing w:after="0"/>
        <w:ind w:left="0"/>
        <w:jc w:val="both"/>
      </w:pPr>
      <w:r>
        <w:rPr>
          <w:rFonts w:ascii="Times New Roman"/>
          <w:b w:val="false"/>
          <w:i w:val="false"/>
          <w:color w:val="000000"/>
          <w:sz w:val="28"/>
        </w:rPr>
        <w:t>
      "5) порядок урегулирования споров и взаимодействия со страховым омбудсманом;";</w:t>
      </w:r>
    </w:p>
    <w:bookmarkEnd w:id="109"/>
    <w:bookmarkStart w:name="z115" w:id="110"/>
    <w:p>
      <w:pPr>
        <w:spacing w:after="0"/>
        <w:ind w:left="0"/>
        <w:jc w:val="both"/>
      </w:pPr>
      <w:r>
        <w:rPr>
          <w:rFonts w:ascii="Times New Roman"/>
          <w:b w:val="false"/>
          <w:i w:val="false"/>
          <w:color w:val="000000"/>
          <w:sz w:val="28"/>
        </w:rPr>
        <w:t xml:space="preserve">
      абзаца девяносто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установив, что в период приостановления данный абзац действует в следующей редакции:</w:t>
      </w:r>
    </w:p>
    <w:bookmarkEnd w:id="110"/>
    <w:bookmarkStart w:name="z116" w:id="111"/>
    <w:p>
      <w:pPr>
        <w:spacing w:after="0"/>
        <w:ind w:left="0"/>
        <w:jc w:val="both"/>
      </w:pPr>
      <w:r>
        <w:rPr>
          <w:rFonts w:ascii="Times New Roman"/>
          <w:b w:val="false"/>
          <w:i w:val="false"/>
          <w:color w:val="000000"/>
          <w:sz w:val="28"/>
        </w:rPr>
        <w:t>
      "5) мониторинг исполнения решений страхового омбудсмана;".</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