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e7ad" w14:textId="a35e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туризма и спорта Республики Казахстан от 21 апреля 2026 года № 69 и Заместителя Премьер-Министра – Министра национальной экономики Республики Казахстан от 23 апреля 2026 года № 32. Зарегистрирован в Министерстве юстиции Республики Казахстан 27 апреля 2026 года № 38551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 (зарегистрирован в Реестре государственной регистрации нормативных правовых актов под № 14313)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об игорном бизнесе, утвержденных приложением 1 к указанному совместному приказу: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Система оценки и управления рисками ведется с использованием цифровых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цифровой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нарушений требований к субъектам (объектам) контроля за соблюдением законодательства Республики Казахстан об игорном бизнесе, осуществляющих деятельность казино и залов игровых автоматов для проведения профилактического контроля с посещением";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нарушений требований к субъектам (объектам) контроля за соблюдением законодательства Республики Казахстан об игорном бизнесе, осуществляющих деятельность казино и залов игровых автоматов для проведения проверок на соответствие квалификационным требованиям";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нарушений требований к субъектам (объектам) контроля за соблюдением законодательства Республики Казахстан об игорном бизнесе, осуществляющих деятельность букмекерских контор и тотализаторов для проведения проверок на соответствие квалификационным требованиям";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казино, утвержденных приложением 2 к указанному совместному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"Проверочный лист за соблюдением законодательства Республики Казахстан об игорном бизнесе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организаторов игорного бизнеса, осуществляющих деятельность казино";</w:t>
      </w:r>
    </w:p>
    <w:bookmarkEnd w:id="9"/>
    <w:p>
      <w:pPr>
        <w:spacing w:after="0"/>
        <w:ind w:left="0"/>
        <w:jc w:val="both"/>
      </w:pPr>
      <w:bookmarkStart w:name="z21" w:id="10"/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контроля";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залов игровых автоматов, утвержденных приложением 3 к указанному совместному приказу: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"Проверочный лист за соблюдением законодательства Республики Казахстан об игорном бизнесе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организаторов игорного бизнеса, осуществляющих деятельность залов игровых автоматов";</w:t>
      </w:r>
    </w:p>
    <w:bookmarkEnd w:id="12"/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утвержденных приложением 6 к указанному совместному приказу: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"Проверочный лист за соблюдением законодательства Республики Казахстан об игорном бизнесе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организаторов игорного бизнеса";</w:t>
      </w:r>
    </w:p>
    <w:bookmarkEnd w:id="15"/>
    <w:p>
      <w:pPr>
        <w:spacing w:after="0"/>
        <w:ind w:left="0"/>
        <w:jc w:val="both"/>
      </w:pPr>
      <w:bookmarkStart w:name="z30" w:id="16"/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контроля".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совместного приказа размещение его на интернет-ресурсе Министерства туризма и спорта Республики Казахстан;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совместного приказа, представление информации об исполнении в Департамент юридической службы Министерства туризма и спорта Республики Казахстан;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туризма и спорта Республики Казахстан.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по истечении десяти календарных дней после дня его первого официального опубликования за исключением абзацев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приказа, которые вводятся в действие с 12 июля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2026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</w:t>
      </w:r>
      <w:r>
        <w:br/>
      </w:r>
      <w:r>
        <w:rPr>
          <w:rFonts w:ascii="Times New Roman"/>
          <w:b/>
          <w:i w:val="false"/>
          <w:color w:val="000000"/>
        </w:rPr>
        <w:t>за соблюдением законодательства Республики Казахстан об игорном бизнесе,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профилактического контроля с посещением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кассе букмекерской конторы без их учета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платежей, в том числе с использованием электронных денег, между участником пари и букмекерской конторой, включая выплату выигрыша, без их учета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электронной кассе букмекерской конторы вне единой системы учета, обеспечивающей осуществление расчетов по ставкам и выигрышам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функционирование аппаратно-программных комплексов, прием ставок и выплата выигрышей организатором игорного бизнеса, осуществляющим деятельность букмекерской конторы, без их интеграции с единой системой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кассе тотализатора без их учета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платежей, в том числе с использованием электронных денег, между участником пари и тотализатором, включая выплату выигрыша, без их учета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электронной кассе тотализатора вне единой системы учета, обеспечивающей осуществление расчетов по ставкам и выигрышам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функционирование аппаратно-программных комплексов, прием ставок и выплата выигрышей организатором игорного бизнеса, осуществляющим деятельность тотализатора, без их интеграции с единой системой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2026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соответствии со статьей 138 Предпринимательского кодекса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отношении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</w:t>
      </w:r>
    </w:p>
    <w:bookmarkEnd w:id="26"/>
    <w:p>
      <w:pPr>
        <w:spacing w:after="0"/>
        <w:ind w:left="0"/>
        <w:jc w:val="both"/>
      </w:pPr>
      <w:bookmarkStart w:name="z47" w:id="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 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на прием ставок и выплату выигрышей в кассе букмекерской конторы без их учета в единой системе учета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платежей, в том числе с использованием электронных денег, между участником пари и букмекерской конторой, включая выплату выигрыша, без их учета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на прием ставок и выплату выигрышей в электронной кассе букмекерской конторы вне единой системы учета, обеспечивающей осуществление расчетов по ставкам и выигрышам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функционирование аппаратно-программных комплексов, прием ставок и выплата выигрышей организатором игорного бизнеса, осуществляющим деятельность букмекерской конторы, без их интеграции с единой системой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2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2026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соответствии со статьей 138 Предпринимательского кодекса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отношении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тотализаторов</w:t>
      </w:r>
    </w:p>
    <w:bookmarkEnd w:id="29"/>
    <w:p>
      <w:pPr>
        <w:spacing w:after="0"/>
        <w:ind w:left="0"/>
        <w:jc w:val="both"/>
      </w:pPr>
      <w:bookmarkStart w:name="z52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прием ставок и выплату выигрышей в кассе тотализатора без их учета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платежей, в том числе с использованием электронных денег, между участником пари и тотализатором, включая выплату выигрыша, без их учета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на прием ставок и выплату выигрышей в электронной кассе тотализатора вне единой системы учета, обеспечивающей осуществление расчетов по ставкам и выигрышам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функционирование аппаратно-программных комплексов, прием ставок и выплата выигрышей организатором игорного бизнеса, осуществляющим деятельность тотализатора, без их интеграции с единой системой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3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