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9466" w14:textId="0aa9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развития финансового рынка и рынка цифровых финансовых активов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79. Зарегистрировано в Министерстве юстиции Республики Казахстан 22 апреля 2026 года № 38510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развития финансового рынка и рынка цифровых финансовых активов,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которые вводятся в действие с 1 мая 2026 года.</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bookmarkStart w:name="z14" w:id="9"/>
    <w:p>
      <w:pPr>
        <w:spacing w:after="0"/>
        <w:ind w:left="0"/>
        <w:jc w:val="both"/>
      </w:pPr>
      <w:r>
        <w:rPr>
          <w:rFonts w:ascii="Times New Roman"/>
          <w:b w:val="false"/>
          <w:i w:val="false"/>
          <w:color w:val="000000"/>
          <w:sz w:val="28"/>
        </w:rPr>
        <w:t xml:space="preserve">
      абзаца двадцать третьего </w:t>
      </w:r>
      <w:r>
        <w:rPr>
          <w:rFonts w:ascii="Times New Roman"/>
          <w:b w:val="false"/>
          <w:i w:val="false"/>
          <w:color w:val="000000"/>
          <w:sz w:val="28"/>
        </w:rPr>
        <w:t>пункта 6</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9"/>
    <w:bookmarkStart w:name="z15" w:id="10"/>
    <w:p>
      <w:pPr>
        <w:spacing w:after="0"/>
        <w:ind w:left="0"/>
        <w:jc w:val="both"/>
      </w:pPr>
      <w:r>
        <w:rPr>
          <w:rFonts w:ascii="Times New Roman"/>
          <w:b w:val="false"/>
          <w:i w:val="false"/>
          <w:color w:val="000000"/>
          <w:sz w:val="28"/>
        </w:rPr>
        <w:t>
      "1) эксплуатацию и поддержание интегрированной информационной системы внебиржевого рынка ценных бумаг;";</w:t>
      </w:r>
    </w:p>
    <w:bookmarkEnd w:id="10"/>
    <w:bookmarkStart w:name="z16" w:id="11"/>
    <w:p>
      <w:pPr>
        <w:spacing w:after="0"/>
        <w:ind w:left="0"/>
        <w:jc w:val="both"/>
      </w:pPr>
      <w:r>
        <w:rPr>
          <w:rFonts w:ascii="Times New Roman"/>
          <w:b w:val="false"/>
          <w:i w:val="false"/>
          <w:color w:val="000000"/>
          <w:sz w:val="28"/>
        </w:rPr>
        <w:t xml:space="preserve">
      абзаца двадцать четвертого </w:t>
      </w:r>
      <w:r>
        <w:rPr>
          <w:rFonts w:ascii="Times New Roman"/>
          <w:b w:val="false"/>
          <w:i w:val="false"/>
          <w:color w:val="000000"/>
          <w:sz w:val="28"/>
        </w:rPr>
        <w:t>пункта 6</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1"/>
    <w:bookmarkStart w:name="z17" w:id="12"/>
    <w:p>
      <w:pPr>
        <w:spacing w:after="0"/>
        <w:ind w:left="0"/>
        <w:jc w:val="both"/>
      </w:pPr>
      <w:r>
        <w:rPr>
          <w:rFonts w:ascii="Times New Roman"/>
          <w:b w:val="false"/>
          <w:i w:val="false"/>
          <w:color w:val="000000"/>
          <w:sz w:val="28"/>
        </w:rPr>
        <w:t>
      "2) предоставление своим клиентам доступа к интегрированной информационной системе внебиржевого рынка ценных бумаг;";</w:t>
      </w:r>
    </w:p>
    <w:bookmarkEnd w:id="12"/>
    <w:bookmarkStart w:name="z18" w:id="13"/>
    <w:p>
      <w:pPr>
        <w:spacing w:after="0"/>
        <w:ind w:left="0"/>
        <w:jc w:val="both"/>
      </w:pPr>
      <w:r>
        <w:rPr>
          <w:rFonts w:ascii="Times New Roman"/>
          <w:b w:val="false"/>
          <w:i w:val="false"/>
          <w:color w:val="000000"/>
          <w:sz w:val="28"/>
        </w:rPr>
        <w:t xml:space="preserve">
      абзаца пятьдесят второго </w:t>
      </w:r>
      <w:r>
        <w:rPr>
          <w:rFonts w:ascii="Times New Roman"/>
          <w:b w:val="false"/>
          <w:i w:val="false"/>
          <w:color w:val="000000"/>
          <w:sz w:val="28"/>
        </w:rPr>
        <w:t>пункта 6</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3"/>
    <w:bookmarkStart w:name="z19" w:id="14"/>
    <w:p>
      <w:pPr>
        <w:spacing w:after="0"/>
        <w:ind w:left="0"/>
        <w:jc w:val="both"/>
      </w:pPr>
      <w:r>
        <w:rPr>
          <w:rFonts w:ascii="Times New Roman"/>
          <w:b w:val="false"/>
          <w:i w:val="false"/>
          <w:color w:val="000000"/>
          <w:sz w:val="28"/>
        </w:rPr>
        <w:t>
      "4) приказов и (или) иных указаний (документов), полученных посредством цифровых систем Bloomberg (Блумберг) и (или) Reuters (Рейтер) в порядке и на условиях, определенных договором, заключенным между провайдерами данных информационных систем и центральным депозитарием:";</w:t>
      </w:r>
    </w:p>
    <w:bookmarkEnd w:id="14"/>
    <w:bookmarkStart w:name="z20" w:id="15"/>
    <w:p>
      <w:pPr>
        <w:spacing w:after="0"/>
        <w:ind w:left="0"/>
        <w:jc w:val="both"/>
      </w:pPr>
      <w:r>
        <w:rPr>
          <w:rFonts w:ascii="Times New Roman"/>
          <w:b w:val="false"/>
          <w:i w:val="false"/>
          <w:color w:val="000000"/>
          <w:sz w:val="28"/>
        </w:rPr>
        <w:t xml:space="preserve">
      абзаца пятьдесят восьмого </w:t>
      </w:r>
      <w:r>
        <w:rPr>
          <w:rFonts w:ascii="Times New Roman"/>
          <w:b w:val="false"/>
          <w:i w:val="false"/>
          <w:color w:val="000000"/>
          <w:sz w:val="28"/>
        </w:rPr>
        <w:t>пункта 6</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5"/>
    <w:bookmarkStart w:name="z21" w:id="16"/>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79</w:t>
            </w:r>
          </w:p>
        </w:tc>
      </w:tr>
    </w:tbl>
    <w:bookmarkStart w:name="z24" w:id="17"/>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развития финансового рынка и рынка цифровых финансовых активов, в которые вносятся изменения и дополнения</w:t>
      </w:r>
    </w:p>
    <w:bookmarkEnd w:id="17"/>
    <w:bookmarkStart w:name="z25"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120 "Об утверждении правил и условий совмещения видов профессиональной деятельности на рынке ценных бумаг" (зарегистрировано в Реестре государственной регистрации нормативных правовых актов под № 7641) следующие изменение:</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совмещения видов профессиональной деятельности на рынке ценных бумаг, утвержденных указанным постановлением: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"2. На рынке ценных бумаг совмещаются следующие виды профессиональной деятельности:</w:t>
      </w:r>
    </w:p>
    <w:bookmarkEnd w:id="20"/>
    <w:bookmarkStart w:name="z29" w:id="21"/>
    <w:p>
      <w:pPr>
        <w:spacing w:after="0"/>
        <w:ind w:left="0"/>
        <w:jc w:val="both"/>
      </w:pPr>
      <w:r>
        <w:rPr>
          <w:rFonts w:ascii="Times New Roman"/>
          <w:b w:val="false"/>
          <w:i w:val="false"/>
          <w:color w:val="000000"/>
          <w:sz w:val="28"/>
        </w:rPr>
        <w:t>
      1) организация торговли с ценными бумагами, цифровыми финансовыми активами и иными финансовыми инструментами – с клиринговой деятельностью по сделкам с финансовыми инструментами и с деятельностью оператора платформы цифровых финансовых активов и (или) оператора торговой платформы цифровых активов;</w:t>
      </w:r>
    </w:p>
    <w:bookmarkEnd w:id="21"/>
    <w:bookmarkStart w:name="z30" w:id="22"/>
    <w:p>
      <w:pPr>
        <w:spacing w:after="0"/>
        <w:ind w:left="0"/>
        <w:jc w:val="both"/>
      </w:pPr>
      <w:r>
        <w:rPr>
          <w:rFonts w:ascii="Times New Roman"/>
          <w:b w:val="false"/>
          <w:i w:val="false"/>
          <w:color w:val="000000"/>
          <w:sz w:val="28"/>
        </w:rPr>
        <w:t>
      2) брокерская и (или) дилерская – с кастодиальной деятельностью, деятельностью по управлению инвестиционным портфелем, а также для Национального оператора почты и банков, осуществляющих брокерскую и (или) дилерскую деятельность – с трансфер-агентской деятельностью;</w:t>
      </w:r>
    </w:p>
    <w:bookmarkEnd w:id="22"/>
    <w:bookmarkStart w:name="z31" w:id="23"/>
    <w:p>
      <w:pPr>
        <w:spacing w:after="0"/>
        <w:ind w:left="0"/>
        <w:jc w:val="both"/>
      </w:pPr>
      <w:r>
        <w:rPr>
          <w:rFonts w:ascii="Times New Roman"/>
          <w:b w:val="false"/>
          <w:i w:val="false"/>
          <w:color w:val="000000"/>
          <w:sz w:val="28"/>
        </w:rPr>
        <w:t>
      3) депозитарная – с деятельностью по ведению системы реестров держателей ценных бумаг и цифровых финансовых активов, по организации торговли с ценными бумагами и иными финансовыми инструментами, с клиринговой деятельностью по сделкам с финансовыми инструментами, с трансфер-агентской деятельностью, с кастодиальной деятельностью, с деятельностью оператора платформы цифровых финансовых активов и (или) оператора торговой платформы цифровых активов и с деятельностью по учету и хранению цифровых активов, в том числе входящих в состав Национального стратегического крипторезерва;</w:t>
      </w:r>
    </w:p>
    <w:bookmarkEnd w:id="23"/>
    <w:bookmarkStart w:name="z32" w:id="24"/>
    <w:p>
      <w:pPr>
        <w:spacing w:after="0"/>
        <w:ind w:left="0"/>
        <w:jc w:val="both"/>
      </w:pPr>
      <w:r>
        <w:rPr>
          <w:rFonts w:ascii="Times New Roman"/>
          <w:b w:val="false"/>
          <w:i w:val="false"/>
          <w:color w:val="000000"/>
          <w:sz w:val="28"/>
        </w:rPr>
        <w:t>
      4) управление инвестиционным портфелем – с брокерской и (или) дилерской деятельностью;</w:t>
      </w:r>
    </w:p>
    <w:bookmarkEnd w:id="24"/>
    <w:bookmarkStart w:name="z33" w:id="25"/>
    <w:p>
      <w:pPr>
        <w:spacing w:after="0"/>
        <w:ind w:left="0"/>
        <w:jc w:val="both"/>
      </w:pPr>
      <w:r>
        <w:rPr>
          <w:rFonts w:ascii="Times New Roman"/>
          <w:b w:val="false"/>
          <w:i w:val="false"/>
          <w:color w:val="000000"/>
          <w:sz w:val="28"/>
        </w:rPr>
        <w:t>
      5) кастодиальная – с брокерской и (или) дилерской деятельностью, трансфер-агентской деятельностью;</w:t>
      </w:r>
    </w:p>
    <w:bookmarkEnd w:id="25"/>
    <w:bookmarkStart w:name="z34" w:id="26"/>
    <w:p>
      <w:pPr>
        <w:spacing w:after="0"/>
        <w:ind w:left="0"/>
        <w:jc w:val="both"/>
      </w:pPr>
      <w:r>
        <w:rPr>
          <w:rFonts w:ascii="Times New Roman"/>
          <w:b w:val="false"/>
          <w:i w:val="false"/>
          <w:color w:val="000000"/>
          <w:sz w:val="28"/>
        </w:rPr>
        <w:t>
      6) клиринговая деятельность по сделкам с финансовыми инструментами и цифровыми финансовыми активами – с брокерской и (или) дилерской деятельностью.".</w:t>
      </w:r>
    </w:p>
    <w:bookmarkEnd w:id="26"/>
    <w:bookmarkStart w:name="z35" w:id="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"33. Управляющий инвестиционным портфелем не принимает решения по заключению сделок и не осуществляет сделки:</w:t>
      </w:r>
    </w:p>
    <w:bookmarkEnd w:id="28"/>
    <w:bookmarkStart w:name="z38" w:id="29"/>
    <w:p>
      <w:pPr>
        <w:spacing w:after="0"/>
        <w:ind w:left="0"/>
        <w:jc w:val="both"/>
      </w:pPr>
      <w:r>
        <w:rPr>
          <w:rFonts w:ascii="Times New Roman"/>
          <w:b w:val="false"/>
          <w:i w:val="false"/>
          <w:color w:val="000000"/>
          <w:sz w:val="28"/>
        </w:rPr>
        <w:t>
      1) по приобретению за счет активов клиента, переданных в инвестиционное управление, финансовых инструментов и иного имущества, находящегося в собственности управляющего инвестиционным портфелем;</w:t>
      </w:r>
    </w:p>
    <w:bookmarkEnd w:id="29"/>
    <w:bookmarkStart w:name="z39" w:id="30"/>
    <w:p>
      <w:pPr>
        <w:spacing w:after="0"/>
        <w:ind w:left="0"/>
        <w:jc w:val="both"/>
      </w:pPr>
      <w:r>
        <w:rPr>
          <w:rFonts w:ascii="Times New Roman"/>
          <w:b w:val="false"/>
          <w:i w:val="false"/>
          <w:color w:val="000000"/>
          <w:sz w:val="28"/>
        </w:rPr>
        <w:t>
      2) по отчуждению активов клиента в свою собственность;</w:t>
      </w:r>
    </w:p>
    <w:bookmarkEnd w:id="30"/>
    <w:bookmarkStart w:name="z40" w:id="31"/>
    <w:p>
      <w:pPr>
        <w:spacing w:after="0"/>
        <w:ind w:left="0"/>
        <w:jc w:val="both"/>
      </w:pPr>
      <w:r>
        <w:rPr>
          <w:rFonts w:ascii="Times New Roman"/>
          <w:b w:val="false"/>
          <w:i w:val="false"/>
          <w:color w:val="000000"/>
          <w:sz w:val="28"/>
        </w:rPr>
        <w:t>
      3) в которых управляющий инвестиционным портфелем одновременно представляет интересы своего клиента и интересы третьего лица, не являющегося его клиентом, за исключением сделок, заключенных методом открытых торгов на фондовой бирже;</w:t>
      </w:r>
    </w:p>
    <w:bookmarkEnd w:id="31"/>
    <w:bookmarkStart w:name="z41" w:id="32"/>
    <w:p>
      <w:pPr>
        <w:spacing w:after="0"/>
        <w:ind w:left="0"/>
        <w:jc w:val="both"/>
      </w:pPr>
      <w:r>
        <w:rPr>
          <w:rFonts w:ascii="Times New Roman"/>
          <w:b w:val="false"/>
          <w:i w:val="false"/>
          <w:color w:val="000000"/>
          <w:sz w:val="28"/>
        </w:rPr>
        <w:t>
      4) по приобретению за счет активов клиента финансовых инструментов, выпущенных управляющим инвестиционным портфелем и (или) ценных бумаг инвестиционных фондов, находящихся в инвестиционном управлении у данного управляющего инвестиционным портфелем;</w:t>
      </w:r>
    </w:p>
    <w:bookmarkEnd w:id="32"/>
    <w:bookmarkStart w:name="z42" w:id="33"/>
    <w:p>
      <w:pPr>
        <w:spacing w:after="0"/>
        <w:ind w:left="0"/>
        <w:jc w:val="both"/>
      </w:pPr>
      <w:r>
        <w:rPr>
          <w:rFonts w:ascii="Times New Roman"/>
          <w:b w:val="false"/>
          <w:i w:val="false"/>
          <w:color w:val="000000"/>
          <w:sz w:val="28"/>
        </w:rPr>
        <w:t>
      5) по приобретению за счет активов клиента ценных бумаг и (или) цифровых финансовых активов эмитентов, находящихся в процессе ликвидации;</w:t>
      </w:r>
    </w:p>
    <w:bookmarkEnd w:id="33"/>
    <w:bookmarkStart w:name="z43" w:id="34"/>
    <w:p>
      <w:pPr>
        <w:spacing w:after="0"/>
        <w:ind w:left="0"/>
        <w:jc w:val="both"/>
      </w:pPr>
      <w:r>
        <w:rPr>
          <w:rFonts w:ascii="Times New Roman"/>
          <w:b w:val="false"/>
          <w:i w:val="false"/>
          <w:color w:val="000000"/>
          <w:sz w:val="28"/>
        </w:rPr>
        <w:t>
      6) по приобретению за счет активов клиента ценных бумаг и (или) цифровых финансовых активов с даты дефолта эмитента (за исключением обмена ценных бумаг и (или) цифровых финансовых активов и иных обязательств эмитента на ценные бумаги и (или) цифровые финансовые активы данного эмитента, выпущенные в целях реструктуризации обязательств эмитента), перевода ценных бумаг и (или) цифровых финансовых активов эмитента в категорию "буферная категория" официального списка фондовой биржи, приостановления фондовой биржей торгов с данными ценными бумагами;</w:t>
      </w:r>
    </w:p>
    <w:bookmarkEnd w:id="34"/>
    <w:bookmarkStart w:name="z44" w:id="35"/>
    <w:p>
      <w:pPr>
        <w:spacing w:after="0"/>
        <w:ind w:left="0"/>
        <w:jc w:val="both"/>
      </w:pPr>
      <w:r>
        <w:rPr>
          <w:rFonts w:ascii="Times New Roman"/>
          <w:b w:val="false"/>
          <w:i w:val="false"/>
          <w:color w:val="000000"/>
          <w:sz w:val="28"/>
        </w:rPr>
        <w:t>
      7) предусматривающие отсрочку или рассрочку платежа более чем на тридцать календарных дней при совершении сделки в отношении активов клиента, принятых в инвестиционное управление;</w:t>
      </w:r>
    </w:p>
    <w:bookmarkEnd w:id="35"/>
    <w:bookmarkStart w:name="z45" w:id="36"/>
    <w:p>
      <w:pPr>
        <w:spacing w:after="0"/>
        <w:ind w:left="0"/>
        <w:jc w:val="both"/>
      </w:pPr>
      <w:r>
        <w:rPr>
          <w:rFonts w:ascii="Times New Roman"/>
          <w:b w:val="false"/>
          <w:i w:val="false"/>
          <w:color w:val="000000"/>
          <w:sz w:val="28"/>
        </w:rPr>
        <w:t>
      8) предполагающие использование активов клиента, принятых в инвестиционное управление, в обеспечение исполнения своих собственных обязательств или обязательств третьих лиц, не связанных с деятельностью по управлению инвестиционным портфелем данного клиента;</w:t>
      </w:r>
    </w:p>
    <w:bookmarkEnd w:id="36"/>
    <w:bookmarkStart w:name="z46" w:id="37"/>
    <w:p>
      <w:pPr>
        <w:spacing w:after="0"/>
        <w:ind w:left="0"/>
        <w:jc w:val="both"/>
      </w:pPr>
      <w:r>
        <w:rPr>
          <w:rFonts w:ascii="Times New Roman"/>
          <w:b w:val="false"/>
          <w:i w:val="false"/>
          <w:color w:val="000000"/>
          <w:sz w:val="28"/>
        </w:rPr>
        <w:t>
      9) по безвозмездному отчуждению активов клиента;</w:t>
      </w:r>
    </w:p>
    <w:bookmarkEnd w:id="37"/>
    <w:bookmarkStart w:name="z47" w:id="38"/>
    <w:p>
      <w:pPr>
        <w:spacing w:after="0"/>
        <w:ind w:left="0"/>
        <w:jc w:val="both"/>
      </w:pPr>
      <w:r>
        <w:rPr>
          <w:rFonts w:ascii="Times New Roman"/>
          <w:b w:val="false"/>
          <w:i w:val="false"/>
          <w:color w:val="000000"/>
          <w:sz w:val="28"/>
        </w:rPr>
        <w:t>
      10) по приобретению в состав активов клиента, не являющегося инвестиционным фондом, активов инвестиционных фондов, находящихся в инвестиционном управлении у данного управляющего инвестиционным портфелем, за исключением сделок, заключенных в торговой системе фондовой биржи методами открытых торгов;</w:t>
      </w:r>
    </w:p>
    <w:bookmarkEnd w:id="38"/>
    <w:bookmarkStart w:name="z48" w:id="39"/>
    <w:p>
      <w:pPr>
        <w:spacing w:after="0"/>
        <w:ind w:left="0"/>
        <w:jc w:val="both"/>
      </w:pPr>
      <w:r>
        <w:rPr>
          <w:rFonts w:ascii="Times New Roman"/>
          <w:b w:val="false"/>
          <w:i w:val="false"/>
          <w:color w:val="000000"/>
          <w:sz w:val="28"/>
        </w:rPr>
        <w:t>
      11) в результате которых будут нарушены требования, установленные финансовым законодательством Республики Казахстан и (или) инвестиционной декларацией клиента.</w:t>
      </w:r>
    </w:p>
    <w:bookmarkEnd w:id="39"/>
    <w:bookmarkStart w:name="z49" w:id="40"/>
    <w:p>
      <w:pPr>
        <w:spacing w:after="0"/>
        <w:ind w:left="0"/>
        <w:jc w:val="both"/>
      </w:pPr>
      <w:r>
        <w:rPr>
          <w:rFonts w:ascii="Times New Roman"/>
          <w:b w:val="false"/>
          <w:i w:val="false"/>
          <w:color w:val="000000"/>
          <w:sz w:val="28"/>
        </w:rPr>
        <w:t>
      Действие подпункта 4) части первой настоящего пункта Правил не распространяется на случаи приобретения паев паевого инвестиционного фонда, не являющегося закрытым паевым инвестиционным фондом, в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40"/>
    <w:bookmarkStart w:name="z50" w:id="41"/>
    <w:p>
      <w:pPr>
        <w:spacing w:after="0"/>
        <w:ind w:left="0"/>
        <w:jc w:val="both"/>
      </w:pPr>
      <w:r>
        <w:rPr>
          <w:rFonts w:ascii="Times New Roman"/>
          <w:b w:val="false"/>
          <w:i w:val="false"/>
          <w:color w:val="000000"/>
          <w:sz w:val="28"/>
        </w:rPr>
        <w:t>
      Совокупный объем инвестиций активов инвестиционных фондов, активов эндаумент-фондов (целевых капиталов), активов инвестиционных портфелей,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пенсионных активов, находящихся в управлении у одного управляющего инвестиционным портфелем (страховой организации), и собственных активов управляющего инвестиционным портфелем (страховой организации)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"33-1. Необеспеченные цифровые активы не являются предметом сделки, осуществляемой управляющим инвестиционным портфелем, и не принимаются им в управление.";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"38.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учет и хранение активов эндаумент фондов (целевых капиталов),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43"/>
    <w:bookmarkStart w:name="z55" w:id="44"/>
    <w:p>
      <w:pPr>
        <w:spacing w:after="0"/>
        <w:ind w:left="0"/>
        <w:jc w:val="both"/>
      </w:pPr>
      <w:r>
        <w:rPr>
          <w:rFonts w:ascii="Times New Roman"/>
          <w:b w:val="false"/>
          <w:i w:val="false"/>
          <w:color w:val="000000"/>
          <w:sz w:val="28"/>
        </w:rPr>
        <w:t>
      Учет ценных бумаг клиентов, за исключением клиентов управляющего инвестиционным портфелем, указанных в части первой настоящего пункта Правил, осуществляется иностранной расчетной организацией или профессиональным участником рынка ценных бумаг, оказывающим услуги по номинальному держанию ценных бумаг (далее - номинальный держатель), на основании договора о номинальном держании, заключенного между управляющим инвестиционным портфелем и номинальным держателем.</w:t>
      </w:r>
    </w:p>
    <w:bookmarkEnd w:id="44"/>
    <w:bookmarkStart w:name="z56" w:id="45"/>
    <w:p>
      <w:pPr>
        <w:spacing w:after="0"/>
        <w:ind w:left="0"/>
        <w:jc w:val="both"/>
      </w:pPr>
      <w:r>
        <w:rPr>
          <w:rFonts w:ascii="Times New Roman"/>
          <w:b w:val="false"/>
          <w:i w:val="false"/>
          <w:color w:val="000000"/>
          <w:sz w:val="28"/>
        </w:rPr>
        <w:t>
      Учет и хранение иных, кроме ценных бумаг, активов клиентов осуществляется кастодианом.</w:t>
      </w:r>
    </w:p>
    <w:bookmarkEnd w:id="45"/>
    <w:bookmarkStart w:name="z57" w:id="46"/>
    <w:p>
      <w:pPr>
        <w:spacing w:after="0"/>
        <w:ind w:left="0"/>
        <w:jc w:val="both"/>
      </w:pPr>
      <w:r>
        <w:rPr>
          <w:rFonts w:ascii="Times New Roman"/>
          <w:b w:val="false"/>
          <w:i w:val="false"/>
          <w:color w:val="000000"/>
          <w:sz w:val="28"/>
        </w:rPr>
        <w:t>
      Учет и хранение цифровых финансовых активов осуществляется в системе учета оператора платформы цифровых финансовых активов.</w:t>
      </w:r>
    </w:p>
    <w:bookmarkEnd w:id="46"/>
    <w:bookmarkStart w:name="z58" w:id="47"/>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47"/>
    <w:bookmarkStart w:name="z59" w:id="48"/>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48"/>
    <w:bookmarkStart w:name="z60" w:id="49"/>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49"/>
    <w:bookmarkStart w:name="z61" w:id="50"/>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50"/>
    <w:bookmarkStart w:name="z62" w:id="51"/>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соответствующая следующим условиям:</w:t>
      </w:r>
    </w:p>
    <w:bookmarkEnd w:id="51"/>
    <w:bookmarkStart w:name="z63" w:id="52"/>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52"/>
    <w:bookmarkStart w:name="z64" w:id="53"/>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53"/>
    <w:bookmarkStart w:name="z65" w:id="54"/>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67" w:id="55"/>
    <w:p>
      <w:pPr>
        <w:spacing w:after="0"/>
        <w:ind w:left="0"/>
        <w:jc w:val="both"/>
      </w:pPr>
      <w:r>
        <w:rPr>
          <w:rFonts w:ascii="Times New Roman"/>
          <w:b w:val="false"/>
          <w:i w:val="false"/>
          <w:color w:val="000000"/>
          <w:sz w:val="28"/>
        </w:rPr>
        <w:t>
      "43. Управляющий инвестиционным портфелем не реже одного раза в месяц проводит сверку данных своей системы внутреннего учета на их соответствие данным кастодианов, осуществляющих учет и хранение активов клиентов, и (или) данным номинального держателя, осуществляющего учет ценных бумаг и (или) данным оператора платформы цифровых финансовых активов, осуществляющего учет цифровых финансовых активов клиентов управляющего инвестиционным портфелем.</w:t>
      </w:r>
    </w:p>
    <w:bookmarkEnd w:id="55"/>
    <w:bookmarkStart w:name="z68" w:id="56"/>
    <w:p>
      <w:pPr>
        <w:spacing w:after="0"/>
        <w:ind w:left="0"/>
        <w:jc w:val="both"/>
      </w:pPr>
      <w:r>
        <w:rPr>
          <w:rFonts w:ascii="Times New Roman"/>
          <w:b w:val="false"/>
          <w:i w:val="false"/>
          <w:color w:val="000000"/>
          <w:sz w:val="28"/>
        </w:rPr>
        <w:t>
      Результаты сверки по данным, указанным в части первой настоящего пункта, оформляются актом сверки, который содержит следующие сведения:</w:t>
      </w:r>
    </w:p>
    <w:bookmarkEnd w:id="56"/>
    <w:bookmarkStart w:name="z69" w:id="57"/>
    <w:p>
      <w:pPr>
        <w:spacing w:after="0"/>
        <w:ind w:left="0"/>
        <w:jc w:val="both"/>
      </w:pPr>
      <w:r>
        <w:rPr>
          <w:rFonts w:ascii="Times New Roman"/>
          <w:b w:val="false"/>
          <w:i w:val="false"/>
          <w:color w:val="000000"/>
          <w:sz w:val="28"/>
        </w:rPr>
        <w:t>
      дату составления акта сверки;</w:t>
      </w:r>
    </w:p>
    <w:bookmarkEnd w:id="57"/>
    <w:bookmarkStart w:name="z70" w:id="58"/>
    <w:p>
      <w:pPr>
        <w:spacing w:after="0"/>
        <w:ind w:left="0"/>
        <w:jc w:val="both"/>
      </w:pPr>
      <w:r>
        <w:rPr>
          <w:rFonts w:ascii="Times New Roman"/>
          <w:b w:val="false"/>
          <w:i w:val="false"/>
          <w:color w:val="000000"/>
          <w:sz w:val="28"/>
        </w:rPr>
        <w:t>
      период, за который осуществляется сверка;</w:t>
      </w:r>
    </w:p>
    <w:bookmarkEnd w:id="58"/>
    <w:bookmarkStart w:name="z71" w:id="59"/>
    <w:p>
      <w:pPr>
        <w:spacing w:after="0"/>
        <w:ind w:left="0"/>
        <w:jc w:val="both"/>
      </w:pPr>
      <w:r>
        <w:rPr>
          <w:rFonts w:ascii="Times New Roman"/>
          <w:b w:val="false"/>
          <w:i w:val="false"/>
          <w:color w:val="000000"/>
          <w:sz w:val="28"/>
        </w:rPr>
        <w:t>
      информацию об остатке на дату составления акта-сверки активов на счетах (субсчетах);</w:t>
      </w:r>
    </w:p>
    <w:bookmarkEnd w:id="59"/>
    <w:bookmarkStart w:name="z72" w:id="60"/>
    <w:p>
      <w:pPr>
        <w:spacing w:after="0"/>
        <w:ind w:left="0"/>
        <w:jc w:val="both"/>
      </w:pPr>
      <w:r>
        <w:rPr>
          <w:rFonts w:ascii="Times New Roman"/>
          <w:b w:val="false"/>
          <w:i w:val="false"/>
          <w:color w:val="000000"/>
          <w:sz w:val="28"/>
        </w:rPr>
        <w:t>
      информацию о движении активов в период, за который осуществляется сверка активов по счетам (субсчетам).</w:t>
      </w:r>
    </w:p>
    <w:bookmarkEnd w:id="60"/>
    <w:bookmarkStart w:name="z73" w:id="61"/>
    <w:p>
      <w:pPr>
        <w:spacing w:after="0"/>
        <w:ind w:left="0"/>
        <w:jc w:val="both"/>
      </w:pPr>
      <w:r>
        <w:rPr>
          <w:rFonts w:ascii="Times New Roman"/>
          <w:b w:val="false"/>
          <w:i w:val="false"/>
          <w:color w:val="000000"/>
          <w:sz w:val="28"/>
        </w:rPr>
        <w:t>
      Акт сверки составляется в двух экземплярах, подписывается представителями сторон, осуществляющими сверку.";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75" w:id="62"/>
    <w:p>
      <w:pPr>
        <w:spacing w:after="0"/>
        <w:ind w:left="0"/>
        <w:jc w:val="both"/>
      </w:pPr>
      <w:r>
        <w:rPr>
          <w:rFonts w:ascii="Times New Roman"/>
          <w:b w:val="false"/>
          <w:i w:val="false"/>
          <w:color w:val="000000"/>
          <w:sz w:val="28"/>
        </w:rPr>
        <w:t>
      "46. Управляющий инвестиционным портфелем ведет достоверный и актуальный учет всех документов, относящихся к его деятельности, путем ведения журналов, содержащих сведения о (об):</w:t>
      </w:r>
    </w:p>
    <w:bookmarkEnd w:id="62"/>
    <w:bookmarkStart w:name="z76" w:id="63"/>
    <w:p>
      <w:pPr>
        <w:spacing w:after="0"/>
        <w:ind w:left="0"/>
        <w:jc w:val="both"/>
      </w:pPr>
      <w:r>
        <w:rPr>
          <w:rFonts w:ascii="Times New Roman"/>
          <w:b w:val="false"/>
          <w:i w:val="false"/>
          <w:color w:val="000000"/>
          <w:sz w:val="28"/>
        </w:rPr>
        <w:t>
      1) заключенных договорах и всех изменениях и дополнениях к ним;</w:t>
      </w:r>
    </w:p>
    <w:bookmarkEnd w:id="63"/>
    <w:bookmarkStart w:name="z77" w:id="64"/>
    <w:p>
      <w:pPr>
        <w:spacing w:after="0"/>
        <w:ind w:left="0"/>
        <w:jc w:val="both"/>
      </w:pPr>
      <w:r>
        <w:rPr>
          <w:rFonts w:ascii="Times New Roman"/>
          <w:b w:val="false"/>
          <w:i w:val="false"/>
          <w:color w:val="000000"/>
          <w:sz w:val="28"/>
        </w:rPr>
        <w:t>
      2) составленных рекомендациях;</w:t>
      </w:r>
    </w:p>
    <w:bookmarkEnd w:id="64"/>
    <w:bookmarkStart w:name="z78" w:id="65"/>
    <w:p>
      <w:pPr>
        <w:spacing w:after="0"/>
        <w:ind w:left="0"/>
        <w:jc w:val="both"/>
      </w:pPr>
      <w:r>
        <w:rPr>
          <w:rFonts w:ascii="Times New Roman"/>
          <w:b w:val="false"/>
          <w:i w:val="false"/>
          <w:color w:val="000000"/>
          <w:sz w:val="28"/>
        </w:rPr>
        <w:t>
      3) инвестиционных решениях, их исполнении (неисполнении);</w:t>
      </w:r>
    </w:p>
    <w:bookmarkEnd w:id="65"/>
    <w:bookmarkStart w:name="z79" w:id="66"/>
    <w:p>
      <w:pPr>
        <w:spacing w:after="0"/>
        <w:ind w:left="0"/>
        <w:jc w:val="both"/>
      </w:pPr>
      <w:r>
        <w:rPr>
          <w:rFonts w:ascii="Times New Roman"/>
          <w:b w:val="false"/>
          <w:i w:val="false"/>
          <w:color w:val="000000"/>
          <w:sz w:val="28"/>
        </w:rPr>
        <w:t>
      4) заключенных сделках с активами клиентов и (или) собственными активами управляющего инвестиционным портфелем, их исполнении (неисполнении);</w:t>
      </w:r>
    </w:p>
    <w:bookmarkEnd w:id="66"/>
    <w:bookmarkStart w:name="z80" w:id="67"/>
    <w:p>
      <w:pPr>
        <w:spacing w:after="0"/>
        <w:ind w:left="0"/>
        <w:jc w:val="both"/>
      </w:pPr>
      <w:r>
        <w:rPr>
          <w:rFonts w:ascii="Times New Roman"/>
          <w:b w:val="false"/>
          <w:i w:val="false"/>
          <w:color w:val="000000"/>
          <w:sz w:val="28"/>
        </w:rPr>
        <w:t>
      5) документах, представленных брокеру, в целях исполнения инвестиционных решений либо в случае совмещения деятельности по управлению инвестиционным портфелем с брокерской и (или) дилерской деятельностью на рынке ценных бумаг с правом ведения счетов клиентов в качестве номинального держателя распоряжений, направленных в торговое подразделение;</w:t>
      </w:r>
    </w:p>
    <w:bookmarkEnd w:id="67"/>
    <w:bookmarkStart w:name="z81" w:id="68"/>
    <w:p>
      <w:pPr>
        <w:spacing w:after="0"/>
        <w:ind w:left="0"/>
        <w:jc w:val="both"/>
      </w:pPr>
      <w:r>
        <w:rPr>
          <w:rFonts w:ascii="Times New Roman"/>
          <w:b w:val="false"/>
          <w:i w:val="false"/>
          <w:color w:val="000000"/>
          <w:sz w:val="28"/>
        </w:rPr>
        <w:t>
      6) финансовых инструментах клиентов и изменениях их количества;</w:t>
      </w:r>
    </w:p>
    <w:bookmarkEnd w:id="68"/>
    <w:bookmarkStart w:name="z82" w:id="69"/>
    <w:p>
      <w:pPr>
        <w:spacing w:after="0"/>
        <w:ind w:left="0"/>
        <w:jc w:val="both"/>
      </w:pPr>
      <w:r>
        <w:rPr>
          <w:rFonts w:ascii="Times New Roman"/>
          <w:b w:val="false"/>
          <w:i w:val="false"/>
          <w:color w:val="000000"/>
          <w:sz w:val="28"/>
        </w:rPr>
        <w:t>
      7) поступлении и распределении доходов по финансовым инструментам;</w:t>
      </w:r>
    </w:p>
    <w:bookmarkEnd w:id="69"/>
    <w:bookmarkStart w:name="z83" w:id="70"/>
    <w:p>
      <w:pPr>
        <w:spacing w:after="0"/>
        <w:ind w:left="0"/>
        <w:jc w:val="both"/>
      </w:pPr>
      <w:r>
        <w:rPr>
          <w:rFonts w:ascii="Times New Roman"/>
          <w:b w:val="false"/>
          <w:i w:val="false"/>
          <w:color w:val="000000"/>
          <w:sz w:val="28"/>
        </w:rPr>
        <w:t>
      8) предоставленных отчетах клиентам;</w:t>
      </w:r>
    </w:p>
    <w:bookmarkEnd w:id="70"/>
    <w:bookmarkStart w:name="z84" w:id="71"/>
    <w:p>
      <w:pPr>
        <w:spacing w:after="0"/>
        <w:ind w:left="0"/>
        <w:jc w:val="both"/>
      </w:pPr>
      <w:r>
        <w:rPr>
          <w:rFonts w:ascii="Times New Roman"/>
          <w:b w:val="false"/>
          <w:i w:val="false"/>
          <w:color w:val="000000"/>
          <w:sz w:val="28"/>
        </w:rPr>
        <w:t>
      9) сверках системы внутреннего учета на их соответствие данным кастодианов и (или) номинальных держателей и (или) иностранных расчетных организаций;</w:t>
      </w:r>
    </w:p>
    <w:bookmarkEnd w:id="71"/>
    <w:bookmarkStart w:name="z85" w:id="72"/>
    <w:p>
      <w:pPr>
        <w:spacing w:after="0"/>
        <w:ind w:left="0"/>
        <w:jc w:val="both"/>
      </w:pPr>
      <w:r>
        <w:rPr>
          <w:rFonts w:ascii="Times New Roman"/>
          <w:b w:val="false"/>
          <w:i w:val="false"/>
          <w:color w:val="000000"/>
          <w:sz w:val="28"/>
        </w:rPr>
        <w:t>
      10) обращениях клиентов, содержащих претензии к управляющему инвестиционным портфелем, и мерах по их устранению;</w:t>
      </w:r>
    </w:p>
    <w:bookmarkEnd w:id="72"/>
    <w:bookmarkStart w:name="z86" w:id="73"/>
    <w:p>
      <w:pPr>
        <w:spacing w:after="0"/>
        <w:ind w:left="0"/>
        <w:jc w:val="both"/>
      </w:pPr>
      <w:r>
        <w:rPr>
          <w:rFonts w:ascii="Times New Roman"/>
          <w:b w:val="false"/>
          <w:i w:val="false"/>
          <w:color w:val="000000"/>
          <w:sz w:val="28"/>
        </w:rPr>
        <w:t>
      11) заключенных сделках инсайдеров управляющего инвестиционным портфелем.";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 </w:t>
      </w:r>
    </w:p>
    <w:bookmarkStart w:name="z88" w:id="74"/>
    <w:p>
      <w:pPr>
        <w:spacing w:after="0"/>
        <w:ind w:left="0"/>
        <w:jc w:val="both"/>
      </w:pPr>
      <w:r>
        <w:rPr>
          <w:rFonts w:ascii="Times New Roman"/>
          <w:b w:val="false"/>
          <w:i w:val="false"/>
          <w:color w:val="000000"/>
          <w:sz w:val="28"/>
        </w:rPr>
        <w:t>
      "51. По итогам сверки составляется акт сверки, который содержит, в том числе следующую информацию о (об):</w:t>
      </w:r>
    </w:p>
    <w:bookmarkEnd w:id="74"/>
    <w:bookmarkStart w:name="z89" w:id="75"/>
    <w:p>
      <w:pPr>
        <w:spacing w:after="0"/>
        <w:ind w:left="0"/>
        <w:jc w:val="both"/>
      </w:pPr>
      <w:r>
        <w:rPr>
          <w:rFonts w:ascii="Times New Roman"/>
          <w:b w:val="false"/>
          <w:i w:val="false"/>
          <w:color w:val="000000"/>
          <w:sz w:val="28"/>
        </w:rPr>
        <w:t>
      1) количестве ценных бумаг и (или) цифровых финансовых активов (в штуках) с указанием их международных идентификационных номеров или регистрационных номеров для цифровых финансовых активов;</w:t>
      </w:r>
    </w:p>
    <w:bookmarkEnd w:id="75"/>
    <w:bookmarkStart w:name="z90" w:id="76"/>
    <w:p>
      <w:pPr>
        <w:spacing w:after="0"/>
        <w:ind w:left="0"/>
        <w:jc w:val="both"/>
      </w:pPr>
      <w:r>
        <w:rPr>
          <w:rFonts w:ascii="Times New Roman"/>
          <w:b w:val="false"/>
          <w:i w:val="false"/>
          <w:color w:val="000000"/>
          <w:sz w:val="28"/>
        </w:rPr>
        <w:t>
      2) вкладах в банках второго уровня с указанием наименований банков-депонентов, сумм вкладов, дат заключения и номеров договоров банковского вклада, сроков вкладов, размеров ставок вознаграждения;</w:t>
      </w:r>
    </w:p>
    <w:bookmarkEnd w:id="76"/>
    <w:bookmarkStart w:name="z91" w:id="77"/>
    <w:p>
      <w:pPr>
        <w:spacing w:after="0"/>
        <w:ind w:left="0"/>
        <w:jc w:val="both"/>
      </w:pPr>
      <w:r>
        <w:rPr>
          <w:rFonts w:ascii="Times New Roman"/>
          <w:b w:val="false"/>
          <w:i w:val="false"/>
          <w:color w:val="000000"/>
          <w:sz w:val="28"/>
        </w:rPr>
        <w:t>
      3) движении денег на инвестиционных счетах в тенге и иностранной валюте;</w:t>
      </w:r>
    </w:p>
    <w:bookmarkEnd w:id="77"/>
    <w:bookmarkStart w:name="z92" w:id="78"/>
    <w:p>
      <w:pPr>
        <w:spacing w:after="0"/>
        <w:ind w:left="0"/>
        <w:jc w:val="both"/>
      </w:pPr>
      <w:r>
        <w:rPr>
          <w:rFonts w:ascii="Times New Roman"/>
          <w:b w:val="false"/>
          <w:i w:val="false"/>
          <w:color w:val="000000"/>
          <w:sz w:val="28"/>
        </w:rPr>
        <w:t>
      4) покупной стоимости финансовых инструментов;</w:t>
      </w:r>
    </w:p>
    <w:bookmarkEnd w:id="78"/>
    <w:bookmarkStart w:name="z93" w:id="79"/>
    <w:p>
      <w:pPr>
        <w:spacing w:after="0"/>
        <w:ind w:left="0"/>
        <w:jc w:val="both"/>
      </w:pPr>
      <w:r>
        <w:rPr>
          <w:rFonts w:ascii="Times New Roman"/>
          <w:b w:val="false"/>
          <w:i w:val="false"/>
          <w:color w:val="000000"/>
          <w:sz w:val="28"/>
        </w:rPr>
        <w:t>
      5) текущей стоимости инвестиций;</w:t>
      </w:r>
    </w:p>
    <w:bookmarkEnd w:id="79"/>
    <w:bookmarkStart w:name="z94" w:id="80"/>
    <w:p>
      <w:pPr>
        <w:spacing w:after="0"/>
        <w:ind w:left="0"/>
        <w:jc w:val="both"/>
      </w:pPr>
      <w:r>
        <w:rPr>
          <w:rFonts w:ascii="Times New Roman"/>
          <w:b w:val="false"/>
          <w:i w:val="false"/>
          <w:color w:val="000000"/>
          <w:sz w:val="28"/>
        </w:rPr>
        <w:t>
      6) сумме начисленного и полученного инвестиционного дохода по каждому финансовому инструменту;</w:t>
      </w:r>
    </w:p>
    <w:bookmarkEnd w:id="80"/>
    <w:bookmarkStart w:name="z95" w:id="81"/>
    <w:p>
      <w:pPr>
        <w:spacing w:after="0"/>
        <w:ind w:left="0"/>
        <w:jc w:val="both"/>
      </w:pPr>
      <w:r>
        <w:rPr>
          <w:rFonts w:ascii="Times New Roman"/>
          <w:b w:val="false"/>
          <w:i w:val="false"/>
          <w:color w:val="000000"/>
          <w:sz w:val="28"/>
        </w:rPr>
        <w:t>
      7) сумме комиссионных вознаграждений;</w:t>
      </w:r>
    </w:p>
    <w:bookmarkEnd w:id="81"/>
    <w:bookmarkStart w:name="z96" w:id="82"/>
    <w:p>
      <w:pPr>
        <w:spacing w:after="0"/>
        <w:ind w:left="0"/>
        <w:jc w:val="both"/>
      </w:pPr>
      <w:r>
        <w:rPr>
          <w:rFonts w:ascii="Times New Roman"/>
          <w:b w:val="false"/>
          <w:i w:val="false"/>
          <w:color w:val="000000"/>
          <w:sz w:val="28"/>
        </w:rPr>
        <w:t>
      8) остатке денег на инвестиционных счетах;</w:t>
      </w:r>
    </w:p>
    <w:bookmarkEnd w:id="82"/>
    <w:bookmarkStart w:name="z97" w:id="83"/>
    <w:p>
      <w:pPr>
        <w:spacing w:after="0"/>
        <w:ind w:left="0"/>
        <w:jc w:val="both"/>
      </w:pPr>
      <w:r>
        <w:rPr>
          <w:rFonts w:ascii="Times New Roman"/>
          <w:b w:val="false"/>
          <w:i w:val="false"/>
          <w:color w:val="000000"/>
          <w:sz w:val="28"/>
        </w:rPr>
        <w:t>
      9) оригиналах передаваемых документов, относящихся к инвестиционной деятельности;</w:t>
      </w:r>
    </w:p>
    <w:bookmarkEnd w:id="83"/>
    <w:bookmarkStart w:name="z98" w:id="84"/>
    <w:p>
      <w:pPr>
        <w:spacing w:after="0"/>
        <w:ind w:left="0"/>
        <w:jc w:val="both"/>
      </w:pPr>
      <w:r>
        <w:rPr>
          <w:rFonts w:ascii="Times New Roman"/>
          <w:b w:val="false"/>
          <w:i w:val="false"/>
          <w:color w:val="000000"/>
          <w:sz w:val="28"/>
        </w:rPr>
        <w:t>
      10) иные сведения, относящиеся к инвестиционной деятельности.".</w:t>
      </w:r>
    </w:p>
    <w:bookmarkEnd w:id="84"/>
    <w:bookmarkStart w:name="z99" w:id="8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следующее изменение:</w:t>
      </w:r>
    </w:p>
    <w:bookmarkEnd w:id="85"/>
    <w:bookmarkStart w:name="z100"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утвержденной указанным постановлением: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2" w:id="87"/>
    <w:p>
      <w:pPr>
        <w:spacing w:after="0"/>
        <w:ind w:left="0"/>
        <w:jc w:val="both"/>
      </w:pPr>
      <w:r>
        <w:rPr>
          <w:rFonts w:ascii="Times New Roman"/>
          <w:b w:val="false"/>
          <w:i w:val="false"/>
          <w:color w:val="000000"/>
          <w:sz w:val="28"/>
        </w:rPr>
        <w:t xml:space="preserve">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87"/>
    <w:bookmarkStart w:name="z103" w:id="88"/>
    <w:p>
      <w:pPr>
        <w:spacing w:after="0"/>
        <w:ind w:left="0"/>
        <w:jc w:val="both"/>
      </w:pPr>
      <w:r>
        <w:rPr>
          <w:rFonts w:ascii="Times New Roman"/>
          <w:b w:val="false"/>
          <w:i w:val="false"/>
          <w:color w:val="000000"/>
          <w:sz w:val="28"/>
        </w:rPr>
        <w:t xml:space="preserve">
      В качестве ликвидных активов брокера и (или) дилера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 1.3, 1.11, 2.5, 2.6, 2.7, 2.9, 2.12, 2.13, 2.15, 2.16, 3.3, 3.4, 3.6, 3.7, 4.1, 4.2, 4.3, 4.5 (за исключением ценных бумаг, являющимися предметом операций репо).</w:t>
      </w:r>
    </w:p>
    <w:bookmarkEnd w:id="88"/>
    <w:bookmarkStart w:name="z104" w:id="89"/>
    <w:p>
      <w:pPr>
        <w:spacing w:after="0"/>
        <w:ind w:left="0"/>
        <w:jc w:val="both"/>
      </w:pPr>
      <w:r>
        <w:rPr>
          <w:rFonts w:ascii="Times New Roman"/>
          <w:b w:val="false"/>
          <w:i w:val="false"/>
          <w:color w:val="000000"/>
          <w:sz w:val="28"/>
        </w:rPr>
        <w:t>
      Брокер и (или) дилер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брокера и (или) дилера.</w:t>
      </w:r>
    </w:p>
    <w:bookmarkEnd w:id="89"/>
    <w:bookmarkStart w:name="z105" w:id="90"/>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на государственные ценные бумаги Республики Казахстан и финансовые инструменты, выпущенные (предоставленные)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bookmarkEnd w:id="90"/>
    <w:bookmarkStart w:name="z106" w:id="9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реестров держателей ценных бумаг" (зарегистрировано в Реестре государственной регистрации нормативных правовых актов под № 17803) следующие изменения и дополнения: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8" w:id="92"/>
    <w:p>
      <w:pPr>
        <w:spacing w:after="0"/>
        <w:ind w:left="0"/>
        <w:jc w:val="both"/>
      </w:pPr>
      <w:r>
        <w:rPr>
          <w:rFonts w:ascii="Times New Roman"/>
          <w:b w:val="false"/>
          <w:i w:val="false"/>
          <w:color w:val="000000"/>
          <w:sz w:val="28"/>
        </w:rPr>
        <w:t>
      "Об утверждении Правил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0" w:id="9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5-1 статьи 80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93"/>
    <w:bookmarkStart w:name="z111" w:id="94"/>
    <w:p>
      <w:pPr>
        <w:spacing w:after="0"/>
        <w:ind w:left="0"/>
        <w:jc w:val="both"/>
      </w:pPr>
      <w:r>
        <w:rPr>
          <w:rFonts w:ascii="Times New Roman"/>
          <w:b w:val="false"/>
          <w:i w:val="false"/>
          <w:color w:val="000000"/>
          <w:sz w:val="28"/>
        </w:rPr>
        <w:t>
      1. Утвердить прилагаемые Правила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bookmarkEnd w:id="94"/>
    <w:bookmarkStart w:name="z112"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 утвержденных указанным постановлением: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14" w:id="96"/>
    <w:p>
      <w:pPr>
        <w:spacing w:after="0"/>
        <w:ind w:left="0"/>
        <w:jc w:val="both"/>
      </w:pPr>
      <w:r>
        <w:rPr>
          <w:rFonts w:ascii="Times New Roman"/>
          <w:b w:val="false"/>
          <w:i w:val="false"/>
          <w:color w:val="000000"/>
          <w:sz w:val="28"/>
        </w:rPr>
        <w:t>
      "Правила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6" w:id="97"/>
    <w:p>
      <w:pPr>
        <w:spacing w:after="0"/>
        <w:ind w:left="0"/>
        <w:jc w:val="both"/>
      </w:pPr>
      <w:r>
        <w:rPr>
          <w:rFonts w:ascii="Times New Roman"/>
          <w:b w:val="false"/>
          <w:i w:val="false"/>
          <w:color w:val="000000"/>
          <w:sz w:val="28"/>
        </w:rPr>
        <w:t xml:space="preserve">
      "1. Настоящие Правила осуществления деятельности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 (далее – Правила) разработаны в соответствии с пунктами 5 и 5-1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(далее – Закон о рынке ценных бумаг) и устанавливают порядок осуществления деятельности центрального депозитария по ведению системы реестров держателей ценных бумаг, а также осуществления деятельности по формированию, ведению и хранению системы реестров держателей цифровых финансовых активов и цифровых финансовых активов (далее – система реестров).";</w:t>
      </w:r>
    </w:p>
    <w:bookmarkEnd w:id="97"/>
    <w:bookmarkStart w:name="z117" w:id="98"/>
    <w:p>
      <w:pPr>
        <w:spacing w:after="0"/>
        <w:ind w:left="0"/>
        <w:jc w:val="both"/>
      </w:pPr>
      <w:r>
        <w:rPr>
          <w:rFonts w:ascii="Times New Roman"/>
          <w:b w:val="false"/>
          <w:i w:val="false"/>
          <w:color w:val="000000"/>
          <w:sz w:val="28"/>
        </w:rPr>
        <w:t>
      дополнить пунктом 3-1 следующего содержания:</w:t>
      </w:r>
    </w:p>
    <w:bookmarkEnd w:id="98"/>
    <w:bookmarkStart w:name="z118" w:id="99"/>
    <w:p>
      <w:pPr>
        <w:spacing w:after="0"/>
        <w:ind w:left="0"/>
        <w:jc w:val="both"/>
      </w:pPr>
      <w:r>
        <w:rPr>
          <w:rFonts w:ascii="Times New Roman"/>
          <w:b w:val="false"/>
          <w:i w:val="false"/>
          <w:color w:val="000000"/>
          <w:sz w:val="28"/>
        </w:rPr>
        <w:t>
      "3-1. Центральный депозитарий в процессе осуществления деятельности по ведению системы учета и системы реестров держателей ценных бумаг и цифровых финансовых активов осуществляет ведение системы реестров держателей цифровых финансовых активов.</w:t>
      </w:r>
    </w:p>
    <w:bookmarkEnd w:id="99"/>
    <w:bookmarkStart w:name="z119" w:id="100"/>
    <w:p>
      <w:pPr>
        <w:spacing w:after="0"/>
        <w:ind w:left="0"/>
        <w:jc w:val="both"/>
      </w:pPr>
      <w:r>
        <w:rPr>
          <w:rFonts w:ascii="Times New Roman"/>
          <w:b w:val="false"/>
          <w:i w:val="false"/>
          <w:color w:val="000000"/>
          <w:sz w:val="28"/>
        </w:rPr>
        <w:t xml:space="preserve">
      Порядок формирования, ведения и хранения реестров держателей цифровых финансовых активов регулируется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сводом правил центрального депозитария.";</w:t>
      </w:r>
    </w:p>
    <w:bookmarkEnd w:id="100"/>
    <w:bookmarkStart w:name="z120" w:id="101"/>
    <w:p>
      <w:pPr>
        <w:spacing w:after="0"/>
        <w:ind w:left="0"/>
        <w:jc w:val="both"/>
      </w:pPr>
      <w:r>
        <w:rPr>
          <w:rFonts w:ascii="Times New Roman"/>
          <w:b w:val="false"/>
          <w:i w:val="false"/>
          <w:color w:val="000000"/>
          <w:sz w:val="28"/>
        </w:rPr>
        <w:t>
      дополнить пунктом 9-1 следующего содержания:</w:t>
      </w:r>
    </w:p>
    <w:bookmarkEnd w:id="101"/>
    <w:bookmarkStart w:name="z121" w:id="102"/>
    <w:p>
      <w:pPr>
        <w:spacing w:after="0"/>
        <w:ind w:left="0"/>
        <w:jc w:val="both"/>
      </w:pPr>
      <w:r>
        <w:rPr>
          <w:rFonts w:ascii="Times New Roman"/>
          <w:b w:val="false"/>
          <w:i w:val="false"/>
          <w:color w:val="000000"/>
          <w:sz w:val="28"/>
        </w:rPr>
        <w:t>
      "9-1. Система реестров содержит следующие сведения о цифровых финансовых активах:</w:t>
      </w:r>
    </w:p>
    <w:bookmarkEnd w:id="102"/>
    <w:bookmarkStart w:name="z122" w:id="103"/>
    <w:p>
      <w:pPr>
        <w:spacing w:after="0"/>
        <w:ind w:left="0"/>
        <w:jc w:val="both"/>
      </w:pPr>
      <w:r>
        <w:rPr>
          <w:rFonts w:ascii="Times New Roman"/>
          <w:b w:val="false"/>
          <w:i w:val="false"/>
          <w:color w:val="000000"/>
          <w:sz w:val="28"/>
        </w:rPr>
        <w:t>
      1) об эмитенте цифрового финансового актива, в том числе об организации по хранению базового актива цифрового финансового актива (при его наличии) и выпусках цифровых финансовых активов эмитента;</w:t>
      </w:r>
    </w:p>
    <w:bookmarkEnd w:id="103"/>
    <w:bookmarkStart w:name="z123" w:id="104"/>
    <w:p>
      <w:pPr>
        <w:spacing w:after="0"/>
        <w:ind w:left="0"/>
        <w:jc w:val="both"/>
      </w:pPr>
      <w:r>
        <w:rPr>
          <w:rFonts w:ascii="Times New Roman"/>
          <w:b w:val="false"/>
          <w:i w:val="false"/>
          <w:color w:val="000000"/>
          <w:sz w:val="28"/>
        </w:rPr>
        <w:t>
      2) об операторе платформы цифровых финансовых активов, зарегистрировавшем выпуск этих цифровых финансовых активов, или об операторе торгов цифровых активов, обеспечивающем торги этими цифровыми финансовыми активами;</w:t>
      </w:r>
    </w:p>
    <w:bookmarkEnd w:id="104"/>
    <w:bookmarkStart w:name="z124" w:id="105"/>
    <w:p>
      <w:pPr>
        <w:spacing w:after="0"/>
        <w:ind w:left="0"/>
        <w:jc w:val="both"/>
      </w:pPr>
      <w:r>
        <w:rPr>
          <w:rFonts w:ascii="Times New Roman"/>
          <w:b w:val="false"/>
          <w:i w:val="false"/>
          <w:color w:val="000000"/>
          <w:sz w:val="28"/>
        </w:rPr>
        <w:t>
      3) о держателях цифровых финансовых активов и адресах их кошельков цифровых активов;</w:t>
      </w:r>
    </w:p>
    <w:bookmarkEnd w:id="105"/>
    <w:bookmarkStart w:name="z125" w:id="106"/>
    <w:p>
      <w:pPr>
        <w:spacing w:after="0"/>
        <w:ind w:left="0"/>
        <w:jc w:val="both"/>
      </w:pPr>
      <w:r>
        <w:rPr>
          <w:rFonts w:ascii="Times New Roman"/>
          <w:b w:val="false"/>
          <w:i w:val="false"/>
          <w:color w:val="000000"/>
          <w:sz w:val="28"/>
        </w:rPr>
        <w:t>
      4) о виде, количестве цифровых финансовых активов, учитываемых на кошельках цифровых активов.";</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27" w:id="107"/>
    <w:p>
      <w:pPr>
        <w:spacing w:after="0"/>
        <w:ind w:left="0"/>
        <w:jc w:val="both"/>
      </w:pPr>
      <w:r>
        <w:rPr>
          <w:rFonts w:ascii="Times New Roman"/>
          <w:b w:val="false"/>
          <w:i w:val="false"/>
          <w:color w:val="000000"/>
          <w:sz w:val="28"/>
        </w:rPr>
        <w:t>
      "23. В системе реестров центральный депозитарий ведет учет по каждому виду ценных бумаг и цифровых финансовых активов, удостоверяющих одинаковые права и обязанности собственников и эмитента.";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29" w:id="108"/>
    <w:p>
      <w:pPr>
        <w:spacing w:after="0"/>
        <w:ind w:left="0"/>
        <w:jc w:val="both"/>
      </w:pPr>
      <w:r>
        <w:rPr>
          <w:rFonts w:ascii="Times New Roman"/>
          <w:b w:val="false"/>
          <w:i w:val="false"/>
          <w:color w:val="000000"/>
          <w:sz w:val="28"/>
        </w:rPr>
        <w:t>
      "37. К информационным операциям относятся:</w:t>
      </w:r>
    </w:p>
    <w:bookmarkEnd w:id="108"/>
    <w:bookmarkStart w:name="z130" w:id="109"/>
    <w:p>
      <w:pPr>
        <w:spacing w:after="0"/>
        <w:ind w:left="0"/>
        <w:jc w:val="both"/>
      </w:pPr>
      <w:r>
        <w:rPr>
          <w:rFonts w:ascii="Times New Roman"/>
          <w:b w:val="false"/>
          <w:i w:val="false"/>
          <w:color w:val="000000"/>
          <w:sz w:val="28"/>
        </w:rPr>
        <w:t>
      1) составление и выдача реестра держателей ценных бумаг и (или) цифровых финансовых активов (списка акционеров) на определенную дату и время;</w:t>
      </w:r>
    </w:p>
    <w:bookmarkEnd w:id="109"/>
    <w:bookmarkStart w:name="z131" w:id="110"/>
    <w:p>
      <w:pPr>
        <w:spacing w:after="0"/>
        <w:ind w:left="0"/>
        <w:jc w:val="both"/>
      </w:pPr>
      <w:r>
        <w:rPr>
          <w:rFonts w:ascii="Times New Roman"/>
          <w:b w:val="false"/>
          <w:i w:val="false"/>
          <w:color w:val="000000"/>
          <w:sz w:val="28"/>
        </w:rPr>
        <w:t>
      2) составление и выдача выписки с лицевого счета;</w:t>
      </w:r>
    </w:p>
    <w:bookmarkEnd w:id="110"/>
    <w:bookmarkStart w:name="z132" w:id="111"/>
    <w:p>
      <w:pPr>
        <w:spacing w:after="0"/>
        <w:ind w:left="0"/>
        <w:jc w:val="both"/>
      </w:pPr>
      <w:r>
        <w:rPr>
          <w:rFonts w:ascii="Times New Roman"/>
          <w:b w:val="false"/>
          <w:i w:val="false"/>
          <w:color w:val="000000"/>
          <w:sz w:val="28"/>
        </w:rPr>
        <w:t>
      3) составление и выдача справки о держателях ценных бумаг на определенную дату и время;</w:t>
      </w:r>
    </w:p>
    <w:bookmarkEnd w:id="111"/>
    <w:bookmarkStart w:name="z133" w:id="112"/>
    <w:p>
      <w:pPr>
        <w:spacing w:after="0"/>
        <w:ind w:left="0"/>
        <w:jc w:val="both"/>
      </w:pPr>
      <w:r>
        <w:rPr>
          <w:rFonts w:ascii="Times New Roman"/>
          <w:b w:val="false"/>
          <w:i w:val="false"/>
          <w:color w:val="000000"/>
          <w:sz w:val="28"/>
        </w:rPr>
        <w:t>
      4) подготовка и выдача информации на основании соответствующего приказа или запроса зарегистрированного лица (его представителя).</w:t>
      </w:r>
    </w:p>
    <w:bookmarkEnd w:id="112"/>
    <w:bookmarkStart w:name="z134" w:id="113"/>
    <w:p>
      <w:pPr>
        <w:spacing w:after="0"/>
        <w:ind w:left="0"/>
        <w:jc w:val="both"/>
      </w:pPr>
      <w:r>
        <w:rPr>
          <w:rFonts w:ascii="Times New Roman"/>
          <w:b w:val="false"/>
          <w:i w:val="false"/>
          <w:color w:val="000000"/>
          <w:sz w:val="28"/>
        </w:rPr>
        <w:t>
      Информация и документы, предоставляемые центральным депозитарием на дату ведения системы реестров организацией, ранее осуществлявшей ведение системы реестров, составляются в соответствии с документами, переданными организацией, ранее осуществлявшей ведение системы реестров, и по ним вносятся изменения только на основании соответствующего решения суда.";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36" w:id="114"/>
    <w:p>
      <w:pPr>
        <w:spacing w:after="0"/>
        <w:ind w:left="0"/>
        <w:jc w:val="both"/>
      </w:pPr>
      <w:r>
        <w:rPr>
          <w:rFonts w:ascii="Times New Roman"/>
          <w:b w:val="false"/>
          <w:i w:val="false"/>
          <w:color w:val="000000"/>
          <w:sz w:val="28"/>
        </w:rPr>
        <w:t>
      "49. Операция по внесению записей о конвертировании ценных бумаг и иных денежных обязательств перед кредиторами эмитента в его простые акции проводится центральным депозитарием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p>
    <w:bookmarkEnd w:id="114"/>
    <w:bookmarkStart w:name="z137" w:id="115"/>
    <w:p>
      <w:pPr>
        <w:spacing w:after="0"/>
        <w:ind w:left="0"/>
        <w:jc w:val="both"/>
      </w:pPr>
      <w:r>
        <w:rPr>
          <w:rFonts w:ascii="Times New Roman"/>
          <w:b w:val="false"/>
          <w:i w:val="false"/>
          <w:color w:val="000000"/>
          <w:sz w:val="28"/>
        </w:rPr>
        <w:t>
      1) проспекта выпуска ценных бумаг эмитента, конвертируемых в простые акции эмитента;</w:t>
      </w:r>
    </w:p>
    <w:bookmarkEnd w:id="115"/>
    <w:bookmarkStart w:name="z138" w:id="116"/>
    <w:p>
      <w:pPr>
        <w:spacing w:after="0"/>
        <w:ind w:left="0"/>
        <w:jc w:val="both"/>
      </w:pPr>
      <w:r>
        <w:rPr>
          <w:rFonts w:ascii="Times New Roman"/>
          <w:b w:val="false"/>
          <w:i w:val="false"/>
          <w:color w:val="000000"/>
          <w:sz w:val="28"/>
        </w:rPr>
        <w:t>
      2) плана реструктуризации банка, принятого в порядке, предусмотренном банковским законодательством Республики Казахстан;</w:t>
      </w:r>
    </w:p>
    <w:bookmarkEnd w:id="116"/>
    <w:bookmarkStart w:name="z139" w:id="117"/>
    <w:p>
      <w:pPr>
        <w:spacing w:after="0"/>
        <w:ind w:left="0"/>
        <w:jc w:val="both"/>
      </w:pP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законодательством Республики Казахстан о реабилитации и банкротстве.</w:t>
      </w:r>
    </w:p>
    <w:bookmarkEnd w:id="117"/>
    <w:bookmarkStart w:name="z140" w:id="118"/>
    <w:p>
      <w:pPr>
        <w:spacing w:after="0"/>
        <w:ind w:left="0"/>
        <w:jc w:val="both"/>
      </w:pP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центральный депозитарий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p>
    <w:bookmarkEnd w:id="118"/>
    <w:bookmarkStart w:name="z141" w:id="119"/>
    <w:p>
      <w:pPr>
        <w:spacing w:after="0"/>
        <w:ind w:left="0"/>
        <w:jc w:val="both"/>
      </w:pPr>
      <w:r>
        <w:rPr>
          <w:rFonts w:ascii="Times New Roman"/>
          <w:b w:val="false"/>
          <w:i w:val="false"/>
          <w:color w:val="000000"/>
          <w:sz w:val="28"/>
        </w:rPr>
        <w:t>
      Операцию по внесению записей о конвертировании денежных обязательств перед кредиторами эмитента в его простые акции центральный депозитарий проводит путем списания простых акций с лицевого счета эмитента для учета объявленных или выкупленных ценных бумаг и их зачисления на лицевые счета, открытые кредиторам эмитента в соответствии с пунктами 12 и 13 Правил, на основании приказа эмитента на внесение записей о конвертировании денежных обязательств.</w:t>
      </w:r>
    </w:p>
    <w:bookmarkEnd w:id="119"/>
    <w:bookmarkStart w:name="z142" w:id="120"/>
    <w:p>
      <w:pPr>
        <w:spacing w:after="0"/>
        <w:ind w:left="0"/>
        <w:jc w:val="both"/>
      </w:pPr>
      <w:r>
        <w:rPr>
          <w:rFonts w:ascii="Times New Roman"/>
          <w:b w:val="false"/>
          <w:i w:val="false"/>
          <w:color w:val="000000"/>
          <w:sz w:val="28"/>
        </w:rPr>
        <w:t>
      После проведения операций по лицевому счету, связанных с конвертированием ценных бумаг и денежных обязательств перед кредиторами эмитента в его простые акции, центральный депозитарий в течение 1 (одного) рабочего дня направляет ему уведомление об этом.</w:t>
      </w:r>
    </w:p>
    <w:bookmarkEnd w:id="120"/>
    <w:bookmarkStart w:name="z143" w:id="121"/>
    <w:p>
      <w:pPr>
        <w:spacing w:after="0"/>
        <w:ind w:left="0"/>
        <w:jc w:val="both"/>
      </w:pP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центральный депозитарий аннулирует на основании электронного сообщения об аннулировании выпуска облигаций (в том числе выпущенных в электронно-цифровой форме) в государственном реестре эмиссионных ценных бумаг или копии свидетельства об аннулировании выпуска облигаций (в том числе выпущенных в электронно-цифровой форме).";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45" w:id="122"/>
    <w:p>
      <w:pPr>
        <w:spacing w:after="0"/>
        <w:ind w:left="0"/>
        <w:jc w:val="both"/>
      </w:pPr>
      <w:r>
        <w:rPr>
          <w:rFonts w:ascii="Times New Roman"/>
          <w:b w:val="false"/>
          <w:i w:val="false"/>
          <w:color w:val="000000"/>
          <w:sz w:val="28"/>
        </w:rPr>
        <w:t>
      "74. При погашении облигаций (в том числе выпущенных в электронно-цифровой форме) (исламских ценных бумаг) центральный депозитарий проводит операцию списания облигаций (в том числе выпущенных в электронно-цифровой форме) (исламских ценных бумаг) с лицевых счетов их держателей и зачисления на лицевой счет эмитента по учету выкупленных ценных бумаг в сроки, определенные сводом правил центрального депозитария, на основании:</w:t>
      </w:r>
    </w:p>
    <w:bookmarkEnd w:id="122"/>
    <w:bookmarkStart w:name="z146" w:id="123"/>
    <w:p>
      <w:pPr>
        <w:spacing w:after="0"/>
        <w:ind w:left="0"/>
        <w:jc w:val="both"/>
      </w:pPr>
      <w:r>
        <w:rPr>
          <w:rFonts w:ascii="Times New Roman"/>
          <w:b w:val="false"/>
          <w:i w:val="false"/>
          <w:color w:val="000000"/>
          <w:sz w:val="28"/>
        </w:rPr>
        <w:t>
      1) уведомления эмитента инструментов (оригинатора), обладающего лицензией на осуществление банковских переводных операций, об исполнении им своих обязательств по погашению инструментов самостоятельно без использования услуги платежного агента центрального депозитария и списка держателей инструментов с указанием размера суммы выплаты по каждому держателю инструментов; или</w:t>
      </w:r>
    </w:p>
    <w:bookmarkEnd w:id="123"/>
    <w:bookmarkStart w:name="z147" w:id="124"/>
    <w:p>
      <w:pPr>
        <w:spacing w:after="0"/>
        <w:ind w:left="0"/>
        <w:jc w:val="both"/>
      </w:pPr>
      <w:r>
        <w:rPr>
          <w:rFonts w:ascii="Times New Roman"/>
          <w:b w:val="false"/>
          <w:i w:val="false"/>
          <w:color w:val="000000"/>
          <w:sz w:val="28"/>
        </w:rPr>
        <w:t>
      2) выплаты центральным депозитарием сумм держателям облигаций (в том числе выпущенных в электронно-цифровой форме).";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49" w:id="125"/>
    <w:p>
      <w:pPr>
        <w:spacing w:after="0"/>
        <w:ind w:left="0"/>
        <w:jc w:val="both"/>
      </w:pPr>
      <w:r>
        <w:rPr>
          <w:rFonts w:ascii="Times New Roman"/>
          <w:b w:val="false"/>
          <w:i w:val="false"/>
          <w:color w:val="000000"/>
          <w:sz w:val="28"/>
        </w:rPr>
        <w:t>
      "81. При аннулировании выпуска облигаций центральный депозитарий после получения электронного сообщения об аннулировании выпуска облигаций (в том числе выпущенных в электронно-цифровой форме) в государственном реестре эмиссионных ценных бумаг или копии свидетельства уполномоченного органа об аннулировании выпуска облигаций (в том числе выпущенных в электронно-цифровой форме) проводит операции по единовременному списанию таких облигаций (в том числе выпущенных в электронно-цифровой форме) с лицевых счетов эмитента.</w:t>
      </w:r>
    </w:p>
    <w:bookmarkEnd w:id="125"/>
    <w:bookmarkStart w:name="z150" w:id="126"/>
    <w:p>
      <w:pPr>
        <w:spacing w:after="0"/>
        <w:ind w:left="0"/>
        <w:jc w:val="both"/>
      </w:pPr>
      <w:r>
        <w:rPr>
          <w:rFonts w:ascii="Times New Roman"/>
          <w:b w:val="false"/>
          <w:i w:val="false"/>
          <w:color w:val="000000"/>
          <w:sz w:val="28"/>
        </w:rPr>
        <w:t>
      При аннулировании выпуска облигаций (в том числе выпущенных в электронно-цифровой форме), срок обращения которых истек, центральный депозитарий после получения электронного сообщения об аннулировании выпуска облигаций в государственном реестре эмиссионных ценных бумаг или копии свидетельства об аннулировании такого выпуска облигаций (в том числе выпущенных в электронно-цифровой форме), выданного уполномоченным органом, проводит операции по списанию облигаций с лицевого счета эмитента для учета эмиссионных ценных бумаг, срок обращения которых истек, и прав требования по таким облигациям с лицевого счета эмитента для учета выкупленных прав требования по обязательствам эмитента по эмиссионным ценным бумагам.</w:t>
      </w:r>
    </w:p>
    <w:bookmarkEnd w:id="126"/>
    <w:bookmarkStart w:name="z151" w:id="127"/>
    <w:p>
      <w:pPr>
        <w:spacing w:after="0"/>
        <w:ind w:left="0"/>
        <w:jc w:val="both"/>
      </w:pPr>
      <w:r>
        <w:rPr>
          <w:rFonts w:ascii="Times New Roman"/>
          <w:b w:val="false"/>
          <w:i w:val="false"/>
          <w:color w:val="000000"/>
          <w:sz w:val="28"/>
        </w:rPr>
        <w:t>
      Аннулирование идентификатора прав требования по обязательствам эмитента по эмиссионным ценным бумагам осуществляется центральным депозитарием в соответствии со сводом правил центрального депозитария, при соблюдении одного из следующих условий:</w:t>
      </w:r>
    </w:p>
    <w:bookmarkEnd w:id="127"/>
    <w:bookmarkStart w:name="z152" w:id="128"/>
    <w:p>
      <w:pPr>
        <w:spacing w:after="0"/>
        <w:ind w:left="0"/>
        <w:jc w:val="both"/>
      </w:pPr>
      <w:r>
        <w:rPr>
          <w:rFonts w:ascii="Times New Roman"/>
          <w:b w:val="false"/>
          <w:i w:val="false"/>
          <w:color w:val="000000"/>
          <w:sz w:val="28"/>
        </w:rPr>
        <w:t>
      1) все права требования по обязательствам эмитента по эмиссионным ценным бумагам выкуплены эмитентом;</w:t>
      </w:r>
    </w:p>
    <w:bookmarkEnd w:id="128"/>
    <w:bookmarkStart w:name="z153" w:id="129"/>
    <w:p>
      <w:pPr>
        <w:spacing w:after="0"/>
        <w:ind w:left="0"/>
        <w:jc w:val="both"/>
      </w:pPr>
      <w:r>
        <w:rPr>
          <w:rFonts w:ascii="Times New Roman"/>
          <w:b w:val="false"/>
          <w:i w:val="false"/>
          <w:color w:val="000000"/>
          <w:sz w:val="28"/>
        </w:rPr>
        <w:t>
      2) при ликвидации эмитента, на основании документа, подтверждающего прекращение деятельности юридического лица и исключения его из Национального реестра бизнес-идентификационных номеров.";</w:t>
      </w:r>
    </w:p>
    <w:bookmarkEnd w:id="129"/>
    <w:bookmarkStart w:name="z154" w:id="130"/>
    <w:p>
      <w:pPr>
        <w:spacing w:after="0"/>
        <w:ind w:left="0"/>
        <w:jc w:val="both"/>
      </w:pPr>
      <w:r>
        <w:rPr>
          <w:rFonts w:ascii="Times New Roman"/>
          <w:b w:val="false"/>
          <w:i w:val="false"/>
          <w:color w:val="000000"/>
          <w:sz w:val="28"/>
        </w:rPr>
        <w:t>
      дополнить пунктом 85-1 следующего содержания:</w:t>
      </w:r>
    </w:p>
    <w:bookmarkEnd w:id="130"/>
    <w:bookmarkStart w:name="z155" w:id="131"/>
    <w:p>
      <w:pPr>
        <w:spacing w:after="0"/>
        <w:ind w:left="0"/>
        <w:jc w:val="both"/>
      </w:pPr>
      <w:r>
        <w:rPr>
          <w:rFonts w:ascii="Times New Roman"/>
          <w:b w:val="false"/>
          <w:i w:val="false"/>
          <w:color w:val="000000"/>
          <w:sz w:val="28"/>
        </w:rPr>
        <w:t>
      "85-1. Реестр держателей цифровых финансовых активов составляется по форме, установленной сводом правил центрального депозитария, и содержит следующие сведения:</w:t>
      </w:r>
    </w:p>
    <w:bookmarkEnd w:id="131"/>
    <w:bookmarkStart w:name="z156" w:id="132"/>
    <w:p>
      <w:pPr>
        <w:spacing w:after="0"/>
        <w:ind w:left="0"/>
        <w:jc w:val="both"/>
      </w:pPr>
      <w:r>
        <w:rPr>
          <w:rFonts w:ascii="Times New Roman"/>
          <w:b w:val="false"/>
          <w:i w:val="false"/>
          <w:color w:val="000000"/>
          <w:sz w:val="28"/>
        </w:rPr>
        <w:t>
      1) об эмитенте цифровых финансовых активов, в том числе об организации по хранению базового актива цифровых финансовых активов (при его наличии);</w:t>
      </w:r>
    </w:p>
    <w:bookmarkEnd w:id="132"/>
    <w:bookmarkStart w:name="z157" w:id="133"/>
    <w:p>
      <w:pPr>
        <w:spacing w:after="0"/>
        <w:ind w:left="0"/>
        <w:jc w:val="both"/>
      </w:pPr>
      <w:r>
        <w:rPr>
          <w:rFonts w:ascii="Times New Roman"/>
          <w:b w:val="false"/>
          <w:i w:val="false"/>
          <w:color w:val="000000"/>
          <w:sz w:val="28"/>
        </w:rPr>
        <w:t>
      2) об операторе платформы цифровых финансовых активов, зарегистрировавшем выпуск этих цифровых финансовых активов, или об операторе торговой платформы цифровых активов, обеспечивающем торги этими цифровыми финансовыми активами;</w:t>
      </w:r>
    </w:p>
    <w:bookmarkEnd w:id="133"/>
    <w:bookmarkStart w:name="z158" w:id="134"/>
    <w:p>
      <w:pPr>
        <w:spacing w:after="0"/>
        <w:ind w:left="0"/>
        <w:jc w:val="both"/>
      </w:pPr>
      <w:r>
        <w:rPr>
          <w:rFonts w:ascii="Times New Roman"/>
          <w:b w:val="false"/>
          <w:i w:val="false"/>
          <w:color w:val="000000"/>
          <w:sz w:val="28"/>
        </w:rPr>
        <w:t>
      3) о держателях цифровых финансовых активов и адресах их кошельков цифровых активов;</w:t>
      </w:r>
    </w:p>
    <w:bookmarkEnd w:id="134"/>
    <w:bookmarkStart w:name="z159" w:id="135"/>
    <w:p>
      <w:pPr>
        <w:spacing w:after="0"/>
        <w:ind w:left="0"/>
        <w:jc w:val="both"/>
      </w:pPr>
      <w:r>
        <w:rPr>
          <w:rFonts w:ascii="Times New Roman"/>
          <w:b w:val="false"/>
          <w:i w:val="false"/>
          <w:color w:val="000000"/>
          <w:sz w:val="28"/>
        </w:rPr>
        <w:t>
      4) о виде, количестве цифровых финансовых активов, учитываемых на кошельках цифровых активов.";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61" w:id="136"/>
    <w:p>
      <w:pPr>
        <w:spacing w:after="0"/>
        <w:ind w:left="0"/>
        <w:jc w:val="both"/>
      </w:pPr>
      <w:r>
        <w:rPr>
          <w:rFonts w:ascii="Times New Roman"/>
          <w:b w:val="false"/>
          <w:i w:val="false"/>
          <w:color w:val="000000"/>
          <w:sz w:val="28"/>
        </w:rPr>
        <w:t>
      "94. За исключением случаев, предусмотренных частями второй, третьей и четвертой настоящего пункта, выдача реестра держателей ценных бумаг или цифровых финансовых активов или списка акционеров осуществляется центральным депозитарием в срок не позднее двадцати четырех часов с момента получения от эмитента или оператора платформы цифровых финансовых активов или оператора торговой платформы цифровых активов приказа на выдачу реестра держателей ценных бумаг или цифровых финансовых активов или списка акционеров при условии, что приказ подается не ранее даты, на которую составляется реестр держателей ценных бумаг или цифровых финансовых активов или список акционеров.</w:t>
      </w:r>
    </w:p>
    <w:bookmarkEnd w:id="136"/>
    <w:bookmarkStart w:name="z162" w:id="137"/>
    <w:p>
      <w:pPr>
        <w:spacing w:after="0"/>
        <w:ind w:left="0"/>
        <w:jc w:val="both"/>
      </w:pPr>
      <w:r>
        <w:rPr>
          <w:rFonts w:ascii="Times New Roman"/>
          <w:b w:val="false"/>
          <w:i w:val="false"/>
          <w:color w:val="000000"/>
          <w:sz w:val="28"/>
        </w:rPr>
        <w:t xml:space="preserve">
      Если центральный депозитарий направлял номинальным держателям запросы о раскрытии сведений об их клиентах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 210,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центральным депозитарием в срок не позднее 15 (пятнадцати) рабочих дней с даты получения соответствующего приказа эмитента или запроса уполномоченного органа.</w:t>
      </w:r>
    </w:p>
    <w:bookmarkEnd w:id="137"/>
    <w:bookmarkStart w:name="z163" w:id="138"/>
    <w:p>
      <w:pPr>
        <w:spacing w:after="0"/>
        <w:ind w:left="0"/>
        <w:jc w:val="both"/>
      </w:pPr>
      <w:r>
        <w:rPr>
          <w:rFonts w:ascii="Times New Roman"/>
          <w:b w:val="false"/>
          <w:i w:val="false"/>
          <w:color w:val="000000"/>
          <w:sz w:val="28"/>
        </w:rPr>
        <w:t xml:space="preserve">
      Если центральный депозитарий направлял запросы о раскрытии сведений о конечных собственниках ценных бумаг в соответствии с </w:t>
      </w:r>
      <w:r>
        <w:rPr>
          <w:rFonts w:ascii="Times New Roman"/>
          <w:b w:val="false"/>
          <w:i w:val="false"/>
          <w:color w:val="000000"/>
          <w:sz w:val="28"/>
        </w:rPr>
        <w:t>пунктом 53-1</w:t>
      </w:r>
      <w:r>
        <w:rPr>
          <w:rFonts w:ascii="Times New Roman"/>
          <w:b w:val="false"/>
          <w:i w:val="false"/>
          <w:color w:val="000000"/>
          <w:sz w:val="28"/>
        </w:rPr>
        <w:t xml:space="preserve"> Правил № 210, выдача списка акционеров с указанием их конечных собственников осуществляется центральным депозитарием в срок не позднее 15 (пятнадцати) рабочих дней с даты получения запроса уполномоченного органа или эмитента на предоставление указанного списка.".</w:t>
      </w:r>
    </w:p>
    <w:bookmarkEnd w:id="138"/>
    <w:bookmarkStart w:name="z164" w:id="13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октября 2018 года № 272 "Об утверждении Правил применения мер надзорного реагирования" (зарегистрировано в Реестре государственной регистрации нормативных правовых актов под № 17789) следующие изменения:</w:t>
      </w:r>
    </w:p>
    <w:bookmarkEnd w:id="139"/>
    <w:bookmarkStart w:name="z165"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мер надзорного реагирования, утвержденных указанным постановлением: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7" w:id="141"/>
    <w:p>
      <w:pPr>
        <w:spacing w:after="0"/>
        <w:ind w:left="0"/>
        <w:jc w:val="both"/>
      </w:pPr>
      <w:r>
        <w:rPr>
          <w:rFonts w:ascii="Times New Roman"/>
          <w:b w:val="false"/>
          <w:i w:val="false"/>
          <w:color w:val="000000"/>
          <w:sz w:val="28"/>
        </w:rPr>
        <w:t xml:space="preserve">
      "2. Меры надзорного реагирования применяются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78 Закона о банках, </w:t>
      </w:r>
      <w:r>
        <w:rPr>
          <w:rFonts w:ascii="Times New Roman"/>
          <w:b w:val="false"/>
          <w:i w:val="false"/>
          <w:color w:val="000000"/>
          <w:sz w:val="28"/>
        </w:rPr>
        <w:t>статьей 5-4</w:t>
      </w:r>
      <w:r>
        <w:rPr>
          <w:rFonts w:ascii="Times New Roman"/>
          <w:b w:val="false"/>
          <w:i w:val="false"/>
          <w:color w:val="000000"/>
          <w:sz w:val="28"/>
        </w:rPr>
        <w:t xml:space="preserve"> Закона об ипотеке, </w:t>
      </w:r>
      <w:r>
        <w:rPr>
          <w:rFonts w:ascii="Times New Roman"/>
          <w:b w:val="false"/>
          <w:i w:val="false"/>
          <w:color w:val="000000"/>
          <w:sz w:val="28"/>
        </w:rPr>
        <w:t>пунктом 2</w:t>
      </w:r>
      <w:r>
        <w:rPr>
          <w:rFonts w:ascii="Times New Roman"/>
          <w:b w:val="false"/>
          <w:i w:val="false"/>
          <w:color w:val="000000"/>
          <w:sz w:val="28"/>
        </w:rPr>
        <w:t xml:space="preserve"> статьи 53-1 Закона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3-3 Закона о рынке ценных бумаг, </w:t>
      </w:r>
      <w:r>
        <w:rPr>
          <w:rFonts w:ascii="Times New Roman"/>
          <w:b w:val="false"/>
          <w:i w:val="false"/>
          <w:color w:val="000000"/>
          <w:sz w:val="28"/>
        </w:rPr>
        <w:t>статьей 28</w:t>
      </w:r>
      <w:r>
        <w:rPr>
          <w:rFonts w:ascii="Times New Roman"/>
          <w:b w:val="false"/>
          <w:i w:val="false"/>
          <w:color w:val="000000"/>
          <w:sz w:val="28"/>
        </w:rPr>
        <w:t xml:space="preserve"> Закона о Банке Развития, </w:t>
      </w:r>
      <w:r>
        <w:rPr>
          <w:rFonts w:ascii="Times New Roman"/>
          <w:b w:val="false"/>
          <w:i w:val="false"/>
          <w:color w:val="000000"/>
          <w:sz w:val="28"/>
        </w:rPr>
        <w:t>пунктом 2</w:t>
      </w:r>
      <w:r>
        <w:rPr>
          <w:rFonts w:ascii="Times New Roman"/>
          <w:b w:val="false"/>
          <w:i w:val="false"/>
          <w:color w:val="000000"/>
          <w:sz w:val="28"/>
        </w:rPr>
        <w:t xml:space="preserve"> статьи 3-1 Закона о Фонде гарантирования, </w:t>
      </w:r>
      <w:r>
        <w:rPr>
          <w:rFonts w:ascii="Times New Roman"/>
          <w:b w:val="false"/>
          <w:i w:val="false"/>
          <w:color w:val="000000"/>
          <w:sz w:val="28"/>
        </w:rPr>
        <w:t>пунктом 3</w:t>
      </w:r>
      <w:r>
        <w:rPr>
          <w:rFonts w:ascii="Times New Roman"/>
          <w:b w:val="false"/>
          <w:i w:val="false"/>
          <w:color w:val="000000"/>
          <w:sz w:val="28"/>
        </w:rPr>
        <w:t xml:space="preserve"> статьи 11 Закона о кредитных бюро, </w:t>
      </w:r>
      <w:r>
        <w:rPr>
          <w:rFonts w:ascii="Times New Roman"/>
          <w:b w:val="false"/>
          <w:i w:val="false"/>
          <w:color w:val="000000"/>
          <w:sz w:val="28"/>
        </w:rPr>
        <w:t>пунктом 4</w:t>
      </w:r>
      <w:r>
        <w:rPr>
          <w:rFonts w:ascii="Times New Roman"/>
          <w:b w:val="false"/>
          <w:i w:val="false"/>
          <w:color w:val="000000"/>
          <w:sz w:val="28"/>
        </w:rPr>
        <w:t xml:space="preserve"> статьи 24 Закона о платежах, а также в случае принятия коллегиальным органом уполномоченного органа мотивированного суждения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9" w:id="142"/>
    <w:p>
      <w:pPr>
        <w:spacing w:after="0"/>
        <w:ind w:left="0"/>
        <w:jc w:val="both"/>
      </w:pPr>
      <w:r>
        <w:rPr>
          <w:rFonts w:ascii="Times New Roman"/>
          <w:b w:val="false"/>
          <w:i w:val="false"/>
          <w:color w:val="000000"/>
          <w:sz w:val="28"/>
        </w:rPr>
        <w:t xml:space="preserve">
      "4. При определении целесообразности применения мер надзорного реагирования и выборе меры надзорного реагирования учитываются факторы,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78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3-3 Закона о рынке ценных бумаг.;</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1" w:id="143"/>
    <w:p>
      <w:pPr>
        <w:spacing w:after="0"/>
        <w:ind w:left="0"/>
        <w:jc w:val="both"/>
      </w:pPr>
      <w:r>
        <w:rPr>
          <w:rFonts w:ascii="Times New Roman"/>
          <w:b w:val="false"/>
          <w:i w:val="false"/>
          <w:color w:val="000000"/>
          <w:sz w:val="28"/>
        </w:rPr>
        <w:t xml:space="preserve">
      "7. Уполномоченный орган применяет рекомендательные меры надзорного реагирования к лицам, указанным в подпункте 1) пункта 3 Правил,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79 Закона о банках, </w:t>
      </w:r>
      <w:r>
        <w:rPr>
          <w:rFonts w:ascii="Times New Roman"/>
          <w:b w:val="false"/>
          <w:i w:val="false"/>
          <w:color w:val="000000"/>
          <w:sz w:val="28"/>
        </w:rPr>
        <w:t>пункте 1</w:t>
      </w:r>
      <w:r>
        <w:rPr>
          <w:rFonts w:ascii="Times New Roman"/>
          <w:b w:val="false"/>
          <w:i w:val="false"/>
          <w:color w:val="000000"/>
          <w:sz w:val="28"/>
        </w:rPr>
        <w:t xml:space="preserve"> статьи 53-2 Закона о страховой деятельности и </w:t>
      </w:r>
      <w:r>
        <w:rPr>
          <w:rFonts w:ascii="Times New Roman"/>
          <w:b w:val="false"/>
          <w:i w:val="false"/>
          <w:color w:val="000000"/>
          <w:sz w:val="28"/>
        </w:rPr>
        <w:t>пункте 1</w:t>
      </w:r>
      <w:r>
        <w:rPr>
          <w:rFonts w:ascii="Times New Roman"/>
          <w:b w:val="false"/>
          <w:i w:val="false"/>
          <w:color w:val="000000"/>
          <w:sz w:val="28"/>
        </w:rPr>
        <w:t xml:space="preserve"> статьи 3-4 Закона о рынке ценных бумаг.";</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3" w:id="144"/>
    <w:p>
      <w:pPr>
        <w:spacing w:after="0"/>
        <w:ind w:left="0"/>
        <w:jc w:val="both"/>
      </w:pPr>
      <w:r>
        <w:rPr>
          <w:rFonts w:ascii="Times New Roman"/>
          <w:b w:val="false"/>
          <w:i w:val="false"/>
          <w:color w:val="000000"/>
          <w:sz w:val="28"/>
        </w:rPr>
        <w:t xml:space="preserve">
      "12. Уполномоченный орган указывает в письменном предписании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 и (или) на необходимость представления в срок, установленный в письменном предписании, плана мероприятий по их исполнению (далее – план мероприятий).";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75" w:id="145"/>
    <w:p>
      <w:pPr>
        <w:spacing w:after="0"/>
        <w:ind w:left="0"/>
        <w:jc w:val="both"/>
      </w:pPr>
      <w:r>
        <w:rPr>
          <w:rFonts w:ascii="Times New Roman"/>
          <w:b w:val="false"/>
          <w:i w:val="false"/>
          <w:color w:val="000000"/>
          <w:sz w:val="28"/>
        </w:rPr>
        <w:t>
      "14. Уполномоченный орган рассматривает план мероприятий, представленный лицом, к которому применены меры по улучшению финансового состояния и (или) минимизации рисков, в срок, не превышающий 10 (десяти) рабочих дней после даты его поступления в уполномоченный орган. В случае наличия по представленному плану мероприятий замечаний уполномоченного органа и (или) если объем планируемых мероприятий превышает 20 (двадцать) мероприятий, срок рассмотрения плана мероприятий продлевается только один раз не более чем на 10 (десять) рабочих дней.</w:t>
      </w:r>
    </w:p>
    <w:bookmarkEnd w:id="145"/>
    <w:bookmarkStart w:name="z176" w:id="146"/>
    <w:p>
      <w:pPr>
        <w:spacing w:after="0"/>
        <w:ind w:left="0"/>
        <w:jc w:val="both"/>
      </w:pPr>
      <w:r>
        <w:rPr>
          <w:rFonts w:ascii="Times New Roman"/>
          <w:b w:val="false"/>
          <w:i w:val="false"/>
          <w:color w:val="000000"/>
          <w:sz w:val="28"/>
        </w:rPr>
        <w:t>
      В случае наличия замечаний уполномоченного органа к плану мероприятий, представленному лицом, к которому применены меры по улучшению финансового состояния и (или) минимизации рисков, уполномоченный орган направляет по нему письменные замечания и (или) проводит совместные обсуждения с целью доработки плана мероприятий. При этом лицо, к которому применены меры по улучшению финансового состояния и (или) минимизации рисков, представляет доработанный план мероприятий с учетом замечаний уполномоченного органа в сроки, указанные в письме уполномоченного органа, или в случае несогласия с такими замечаниями представляет свои обоснования.</w:t>
      </w:r>
    </w:p>
    <w:bookmarkEnd w:id="146"/>
    <w:bookmarkStart w:name="z177" w:id="147"/>
    <w:p>
      <w:pPr>
        <w:spacing w:after="0"/>
        <w:ind w:left="0"/>
        <w:jc w:val="both"/>
      </w:pPr>
      <w:r>
        <w:rPr>
          <w:rFonts w:ascii="Times New Roman"/>
          <w:b w:val="false"/>
          <w:i w:val="false"/>
          <w:color w:val="000000"/>
          <w:sz w:val="28"/>
        </w:rPr>
        <w:t>
      Уполномоченный орган в письменной форме одобряет или не одобряет план мероприятий, представленный лицом, к которому применены меры по улучшению финансового состояния и (или) минимизации рисков.</w:t>
      </w:r>
    </w:p>
    <w:bookmarkEnd w:id="147"/>
    <w:bookmarkStart w:name="z178" w:id="148"/>
    <w:p>
      <w:pPr>
        <w:spacing w:after="0"/>
        <w:ind w:left="0"/>
        <w:jc w:val="both"/>
      </w:pPr>
      <w:r>
        <w:rPr>
          <w:rFonts w:ascii="Times New Roman"/>
          <w:b w:val="false"/>
          <w:i w:val="false"/>
          <w:color w:val="000000"/>
          <w:sz w:val="28"/>
        </w:rPr>
        <w:t>
      В случае одобрения уполномоченным органом представленного плана мероприятий лицо, к которому применены меры по улучшению финансового состояния и (или) минимизации рисков, приступает к его реализации.</w:t>
      </w:r>
    </w:p>
    <w:bookmarkEnd w:id="148"/>
    <w:bookmarkStart w:name="z179" w:id="149"/>
    <w:p>
      <w:pPr>
        <w:spacing w:after="0"/>
        <w:ind w:left="0"/>
        <w:jc w:val="both"/>
      </w:pPr>
      <w:r>
        <w:rPr>
          <w:rFonts w:ascii="Times New Roman"/>
          <w:b w:val="false"/>
          <w:i w:val="false"/>
          <w:color w:val="000000"/>
          <w:sz w:val="28"/>
        </w:rPr>
        <w:t xml:space="preserve">
      В случае неодобрения плана мероприятий уполномоченный орган применяет к лицу, к которому применены меры по улучшению финансового состояния и (или) минимизации рисков, меры по улучшению финансового состояния и (или) минимизации рисков с указанием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w:t>
      </w:r>
    </w:p>
    <w:bookmarkEnd w:id="149"/>
    <w:bookmarkStart w:name="z180" w:id="150"/>
    <w:p>
      <w:pPr>
        <w:spacing w:after="0"/>
        <w:ind w:left="0"/>
        <w:jc w:val="both"/>
      </w:pPr>
      <w:r>
        <w:rPr>
          <w:rFonts w:ascii="Times New Roman"/>
          <w:b w:val="false"/>
          <w:i w:val="false"/>
          <w:color w:val="000000"/>
          <w:sz w:val="28"/>
        </w:rPr>
        <w:t xml:space="preserve">
      15. Уполномоченный орган заключает с лицом, указанным в подпункте 2) пункта 3 Правил,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w:t>
      </w:r>
    </w:p>
    <w:bookmarkEnd w:id="150"/>
    <w:bookmarkStart w:name="z181" w:id="151"/>
    <w:p>
      <w:pPr>
        <w:spacing w:after="0"/>
        <w:ind w:left="0"/>
        <w:jc w:val="both"/>
      </w:pPr>
      <w:r>
        <w:rPr>
          <w:rFonts w:ascii="Times New Roman"/>
          <w:b w:val="false"/>
          <w:i w:val="false"/>
          <w:color w:val="000000"/>
          <w:sz w:val="28"/>
        </w:rPr>
        <w:t xml:space="preserve">
      16. Письменное соглашение предусматривает соглашение об исполнении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пункте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пункте 1</w:t>
      </w:r>
      <w:r>
        <w:rPr>
          <w:rFonts w:ascii="Times New Roman"/>
          <w:b w:val="false"/>
          <w:i w:val="false"/>
          <w:color w:val="000000"/>
          <w:sz w:val="28"/>
        </w:rPr>
        <w:t xml:space="preserve"> статьи 3-5 Закона о рынке ценных бумаг, сроки устранения выявленных недостатков, рисков или нарушений и (или) перечень ограничений, которые на себя принимает лицо, к которому применены меры по улучшению финансового состояния и (или) минимизации рисков.</w:t>
      </w:r>
    </w:p>
    <w:bookmarkEnd w:id="151"/>
    <w:bookmarkStart w:name="z182" w:id="152"/>
    <w:p>
      <w:pPr>
        <w:spacing w:after="0"/>
        <w:ind w:left="0"/>
        <w:jc w:val="both"/>
      </w:pPr>
      <w:r>
        <w:rPr>
          <w:rFonts w:ascii="Times New Roman"/>
          <w:b w:val="false"/>
          <w:i w:val="false"/>
          <w:color w:val="000000"/>
          <w:sz w:val="28"/>
        </w:rPr>
        <w:t>
      Письменное соглашение подлежит обязательному подписанию лицом, к которому применены меры по улучшению финансового состояния и (или) минимизации рисков. После подписания письменного соглашения лицо, к которому применены меры по улучшению финансового состояния и (или) минимизации рисков, принимает на себя обязательства по выполнению его условий в полном объеме и в установленные в нем сроки.";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4" w:id="153"/>
    <w:p>
      <w:pPr>
        <w:spacing w:after="0"/>
        <w:ind w:left="0"/>
        <w:jc w:val="both"/>
      </w:pPr>
      <w:r>
        <w:rPr>
          <w:rFonts w:ascii="Times New Roman"/>
          <w:b w:val="false"/>
          <w:i w:val="false"/>
          <w:color w:val="000000"/>
          <w:sz w:val="28"/>
        </w:rPr>
        <w:t xml:space="preserve">
      "21. Уполномоченный орган применяет принудительные меры надзорного реагирования к лицам, указанным в подпункте 3) пункта 3 Правил,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81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статьей 53-4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72-3 Закона о рынке ценных бумаг.".</w:t>
      </w:r>
    </w:p>
    <w:bookmarkEnd w:id="153"/>
    <w:bookmarkStart w:name="z185" w:id="154"/>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изменения и дополнения:</w:t>
      </w:r>
    </w:p>
    <w:bookmarkEnd w:id="154"/>
    <w:bookmarkStart w:name="z186"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55"/>
    <w:bookmarkStart w:name="z187" w:id="156"/>
    <w:p>
      <w:pPr>
        <w:spacing w:after="0"/>
        <w:ind w:left="0"/>
        <w:jc w:val="both"/>
      </w:pPr>
      <w:r>
        <w:rPr>
          <w:rFonts w:ascii="Times New Roman"/>
          <w:b w:val="false"/>
          <w:i w:val="false"/>
          <w:color w:val="000000"/>
          <w:sz w:val="28"/>
        </w:rPr>
        <w:t>
      дополнить пунктами 6-2, 6-3 и 6-4 следующего содержания:</w:t>
      </w:r>
    </w:p>
    <w:bookmarkEnd w:id="156"/>
    <w:bookmarkStart w:name="z188" w:id="157"/>
    <w:p>
      <w:pPr>
        <w:spacing w:after="0"/>
        <w:ind w:left="0"/>
        <w:jc w:val="both"/>
      </w:pPr>
      <w:r>
        <w:rPr>
          <w:rFonts w:ascii="Times New Roman"/>
          <w:b w:val="false"/>
          <w:i w:val="false"/>
          <w:color w:val="000000"/>
          <w:sz w:val="28"/>
        </w:rPr>
        <w:t>
      "6-2. Центральный депозитарий осуществляет предоставление информации о цифровых финансовых активах для инвесторов в порядке и на условиях, установленных сводом правил центрального депозитария.</w:t>
      </w:r>
    </w:p>
    <w:bookmarkEnd w:id="157"/>
    <w:bookmarkStart w:name="z189" w:id="158"/>
    <w:p>
      <w:pPr>
        <w:spacing w:after="0"/>
        <w:ind w:left="0"/>
        <w:jc w:val="both"/>
      </w:pPr>
      <w:r>
        <w:rPr>
          <w:rFonts w:ascii="Times New Roman"/>
          <w:b w:val="false"/>
          <w:i w:val="false"/>
          <w:color w:val="000000"/>
          <w:sz w:val="28"/>
        </w:rPr>
        <w:t>
      6-3. Центральный депозитарий осуществляет деятельность по учету и хранению цифровых активов, в том числе входящих в состав Национального стратегического крипторезерва, а также иные функции в соответствии с настоящим постановлением, а также сводом правил центрального депозитария.";</w:t>
      </w:r>
    </w:p>
    <w:bookmarkEnd w:id="158"/>
    <w:bookmarkStart w:name="z190" w:id="159"/>
    <w:p>
      <w:pPr>
        <w:spacing w:after="0"/>
        <w:ind w:left="0"/>
        <w:jc w:val="both"/>
      </w:pPr>
      <w:r>
        <w:rPr>
          <w:rFonts w:ascii="Times New Roman"/>
          <w:b w:val="false"/>
          <w:i w:val="false"/>
          <w:color w:val="000000"/>
          <w:sz w:val="28"/>
        </w:rPr>
        <w:t>
      6-4. Порядок формирования, ведения и хранения реестров держателей цифровых финансовых активов регулируется сводом правил центрального депозитария.";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2" w:id="160"/>
    <w:p>
      <w:pPr>
        <w:spacing w:after="0"/>
        <w:ind w:left="0"/>
        <w:jc w:val="both"/>
      </w:pPr>
      <w:r>
        <w:rPr>
          <w:rFonts w:ascii="Times New Roman"/>
          <w:b w:val="false"/>
          <w:i w:val="false"/>
          <w:color w:val="000000"/>
          <w:sz w:val="28"/>
        </w:rPr>
        <w:t>
      "8. Организационная структура центрального депозитария включает отдельные подразделения, осуществляющие:</w:t>
      </w:r>
    </w:p>
    <w:bookmarkEnd w:id="160"/>
    <w:bookmarkStart w:name="z193" w:id="161"/>
    <w:p>
      <w:pPr>
        <w:spacing w:after="0"/>
        <w:ind w:left="0"/>
        <w:jc w:val="both"/>
      </w:pPr>
      <w:r>
        <w:rPr>
          <w:rFonts w:ascii="Times New Roman"/>
          <w:b w:val="false"/>
          <w:i w:val="false"/>
          <w:color w:val="000000"/>
          <w:sz w:val="28"/>
        </w:rPr>
        <w:t>
      1) депозитарную деятельность;</w:t>
      </w:r>
    </w:p>
    <w:bookmarkEnd w:id="161"/>
    <w:bookmarkStart w:name="z194" w:id="162"/>
    <w:p>
      <w:pPr>
        <w:spacing w:after="0"/>
        <w:ind w:left="0"/>
        <w:jc w:val="both"/>
      </w:pPr>
      <w:r>
        <w:rPr>
          <w:rFonts w:ascii="Times New Roman"/>
          <w:b w:val="false"/>
          <w:i w:val="false"/>
          <w:color w:val="000000"/>
          <w:sz w:val="28"/>
        </w:rPr>
        <w:t>
      2) переводы денег при регистрации сделок с финансовыми инструментами, при выплате дохода по финансовым инструментам и при их погашении, а также открытие и ведение текущих счетов для учета и хранения денег депонентов и их клиентов;</w:t>
      </w:r>
    </w:p>
    <w:bookmarkEnd w:id="162"/>
    <w:bookmarkStart w:name="z195" w:id="163"/>
    <w:p>
      <w:pPr>
        <w:spacing w:after="0"/>
        <w:ind w:left="0"/>
        <w:jc w:val="both"/>
      </w:pPr>
      <w:r>
        <w:rPr>
          <w:rFonts w:ascii="Times New Roman"/>
          <w:b w:val="false"/>
          <w:i w:val="false"/>
          <w:color w:val="000000"/>
          <w:sz w:val="28"/>
        </w:rPr>
        <w:t>
      3) ведение системы реестров держателей ценных бумаг, цифровых финансовых активов и участников товарищества с ограниченной ответственностью;</w:t>
      </w:r>
    </w:p>
    <w:bookmarkEnd w:id="163"/>
    <w:bookmarkStart w:name="z196" w:id="164"/>
    <w:p>
      <w:pPr>
        <w:spacing w:after="0"/>
        <w:ind w:left="0"/>
        <w:jc w:val="both"/>
      </w:pPr>
      <w:r>
        <w:rPr>
          <w:rFonts w:ascii="Times New Roman"/>
          <w:b w:val="false"/>
          <w:i w:val="false"/>
          <w:color w:val="000000"/>
          <w:sz w:val="28"/>
        </w:rPr>
        <w:t>
      4) клиринговую деятельность по сделкам с финансовыми инструментами;</w:t>
      </w:r>
    </w:p>
    <w:bookmarkEnd w:id="164"/>
    <w:bookmarkStart w:name="z197" w:id="165"/>
    <w:p>
      <w:pPr>
        <w:spacing w:after="0"/>
        <w:ind w:left="0"/>
        <w:jc w:val="both"/>
      </w:pPr>
      <w:r>
        <w:rPr>
          <w:rFonts w:ascii="Times New Roman"/>
          <w:b w:val="false"/>
          <w:i w:val="false"/>
          <w:color w:val="000000"/>
          <w:sz w:val="28"/>
        </w:rPr>
        <w:t>
      5) управление рисками;</w:t>
      </w:r>
    </w:p>
    <w:bookmarkEnd w:id="165"/>
    <w:bookmarkStart w:name="z198" w:id="166"/>
    <w:p>
      <w:pPr>
        <w:spacing w:after="0"/>
        <w:ind w:left="0"/>
        <w:jc w:val="both"/>
      </w:pPr>
      <w:r>
        <w:rPr>
          <w:rFonts w:ascii="Times New Roman"/>
          <w:b w:val="false"/>
          <w:i w:val="false"/>
          <w:color w:val="000000"/>
          <w:sz w:val="28"/>
        </w:rPr>
        <w:t>
      6) внутренний аудит;</w:t>
      </w:r>
    </w:p>
    <w:bookmarkEnd w:id="166"/>
    <w:bookmarkStart w:name="z199" w:id="167"/>
    <w:p>
      <w:pPr>
        <w:spacing w:after="0"/>
        <w:ind w:left="0"/>
        <w:jc w:val="both"/>
      </w:pPr>
      <w:r>
        <w:rPr>
          <w:rFonts w:ascii="Times New Roman"/>
          <w:b w:val="false"/>
          <w:i w:val="false"/>
          <w:color w:val="000000"/>
          <w:sz w:val="28"/>
        </w:rPr>
        <w:t>
      7) кастодиальную деятельность;</w:t>
      </w:r>
    </w:p>
    <w:bookmarkEnd w:id="167"/>
    <w:bookmarkStart w:name="z200" w:id="168"/>
    <w:p>
      <w:pPr>
        <w:spacing w:after="0"/>
        <w:ind w:left="0"/>
        <w:jc w:val="both"/>
      </w:pPr>
      <w:r>
        <w:rPr>
          <w:rFonts w:ascii="Times New Roman"/>
          <w:b w:val="false"/>
          <w:i w:val="false"/>
          <w:color w:val="000000"/>
          <w:sz w:val="28"/>
        </w:rPr>
        <w:t>
      8) регистрацию выпуска цифровых финансовых активов в качестве оператора платформы цифровых финансовых активов.</w:t>
      </w:r>
    </w:p>
    <w:bookmarkEnd w:id="168"/>
    <w:bookmarkStart w:name="z201" w:id="169"/>
    <w:p>
      <w:pPr>
        <w:spacing w:after="0"/>
        <w:ind w:left="0"/>
        <w:jc w:val="both"/>
      </w:pPr>
      <w:r>
        <w:rPr>
          <w:rFonts w:ascii="Times New Roman"/>
          <w:b w:val="false"/>
          <w:i w:val="false"/>
          <w:color w:val="000000"/>
          <w:sz w:val="28"/>
        </w:rPr>
        <w:t>
      Требование о наличии подразделения, указанного в подпункте 4) части первой настоящего пункта, распространяется на центральный депозитарий при осуществлении им клиринговой деятельности по сделкам с финансовыми инструментами.</w:t>
      </w:r>
    </w:p>
    <w:bookmarkEnd w:id="169"/>
    <w:bookmarkStart w:name="z202" w:id="170"/>
    <w:p>
      <w:pPr>
        <w:spacing w:after="0"/>
        <w:ind w:left="0"/>
        <w:jc w:val="both"/>
      </w:pPr>
      <w:r>
        <w:rPr>
          <w:rFonts w:ascii="Times New Roman"/>
          <w:b w:val="false"/>
          <w:i w:val="false"/>
          <w:color w:val="000000"/>
          <w:sz w:val="28"/>
        </w:rPr>
        <w:t>
      Требование о наличии подразделения, указанного в подпункте 7) части первой настоящего пункта, распространяется на центральный депозитарий при наличии у него лицензии на кастодиальную деятельность.</w:t>
      </w:r>
    </w:p>
    <w:bookmarkEnd w:id="170"/>
    <w:bookmarkStart w:name="z203" w:id="171"/>
    <w:p>
      <w:pPr>
        <w:spacing w:after="0"/>
        <w:ind w:left="0"/>
        <w:jc w:val="both"/>
      </w:pPr>
      <w:r>
        <w:rPr>
          <w:rFonts w:ascii="Times New Roman"/>
          <w:b w:val="false"/>
          <w:i w:val="false"/>
          <w:color w:val="000000"/>
          <w:sz w:val="28"/>
        </w:rPr>
        <w:t>
      Работники подразделений, указанных в части первой настоящего пункта, не совмещают функции и обязанности работников других подразделений, за исключением подразделения, осуществляющего клиринговую деятельность по сделкам с финансовыми инструментами, и подразделения, осуществляющего кастодиальную деятельность.";</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p>
    <w:bookmarkStart w:name="z205" w:id="172"/>
    <w:p>
      <w:pPr>
        <w:spacing w:after="0"/>
        <w:ind w:left="0"/>
        <w:jc w:val="both"/>
      </w:pPr>
      <w:r>
        <w:rPr>
          <w:rFonts w:ascii="Times New Roman"/>
          <w:b w:val="false"/>
          <w:i w:val="false"/>
          <w:color w:val="000000"/>
          <w:sz w:val="28"/>
        </w:rPr>
        <w:t xml:space="preserve">
      "12. Центральный депозитарий осуществляет ведение системы реестров держателей ценных бумаг и цифровых финансовых активов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5-1 </w:t>
      </w:r>
      <w:r>
        <w:rPr>
          <w:rFonts w:ascii="Times New Roman"/>
          <w:b w:val="false"/>
          <w:i w:val="false"/>
          <w:color w:val="000000"/>
          <w:sz w:val="28"/>
        </w:rPr>
        <w:t>статьи 80</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Закона о цифровых активах в Республике Казахстан и сводом правил центрального депозитария.</w:t>
      </w:r>
    </w:p>
    <w:bookmarkEnd w:id="172"/>
    <w:bookmarkStart w:name="z206" w:id="173"/>
    <w:p>
      <w:pPr>
        <w:spacing w:after="0"/>
        <w:ind w:left="0"/>
        <w:jc w:val="both"/>
      </w:pPr>
      <w:r>
        <w:rPr>
          <w:rFonts w:ascii="Times New Roman"/>
          <w:b w:val="false"/>
          <w:i w:val="false"/>
          <w:color w:val="000000"/>
          <w:sz w:val="28"/>
        </w:rPr>
        <w:t>
      12-1. В рамках деятельности по организации торговли ценными бумагами и иными финансовыми инструментами центральный депозитарий осуществляет следующие функции:</w:t>
      </w:r>
    </w:p>
    <w:bookmarkEnd w:id="173"/>
    <w:bookmarkStart w:name="z207" w:id="174"/>
    <w:p>
      <w:pPr>
        <w:spacing w:after="0"/>
        <w:ind w:left="0"/>
        <w:jc w:val="both"/>
      </w:pPr>
      <w:r>
        <w:rPr>
          <w:rFonts w:ascii="Times New Roman"/>
          <w:b w:val="false"/>
          <w:i w:val="false"/>
          <w:color w:val="000000"/>
          <w:sz w:val="28"/>
        </w:rPr>
        <w:t>
      1) эксплуатацию и поддержание интегрированной цифровой системы внебиржевого рынка ценных бумаг;</w:t>
      </w:r>
    </w:p>
    <w:bookmarkEnd w:id="174"/>
    <w:bookmarkStart w:name="z208" w:id="175"/>
    <w:p>
      <w:pPr>
        <w:spacing w:after="0"/>
        <w:ind w:left="0"/>
        <w:jc w:val="both"/>
      </w:pPr>
      <w:r>
        <w:rPr>
          <w:rFonts w:ascii="Times New Roman"/>
          <w:b w:val="false"/>
          <w:i w:val="false"/>
          <w:color w:val="000000"/>
          <w:sz w:val="28"/>
        </w:rPr>
        <w:t>
      2) предоставление своим клиентам доступа к интегрированной цифровой системе внебиржевого рынка ценных бумаг;</w:t>
      </w:r>
    </w:p>
    <w:bookmarkEnd w:id="175"/>
    <w:bookmarkStart w:name="z209" w:id="176"/>
    <w:p>
      <w:pPr>
        <w:spacing w:after="0"/>
        <w:ind w:left="0"/>
        <w:jc w:val="both"/>
      </w:pPr>
      <w:r>
        <w:rPr>
          <w:rFonts w:ascii="Times New Roman"/>
          <w:b w:val="false"/>
          <w:i w:val="false"/>
          <w:color w:val="000000"/>
          <w:sz w:val="28"/>
        </w:rPr>
        <w:t>
      3) организацию обмена котировками ценных бумаг и иных финансовых инструментов между клиентами центрального депозитария для заключения сделок с ценными бумагами и иными финансовыми инструментами на неорганизованном рынке ценных бумаг;</w:t>
      </w:r>
    </w:p>
    <w:bookmarkEnd w:id="176"/>
    <w:bookmarkStart w:name="z210" w:id="177"/>
    <w:p>
      <w:pPr>
        <w:spacing w:after="0"/>
        <w:ind w:left="0"/>
        <w:jc w:val="both"/>
      </w:pPr>
      <w:r>
        <w:rPr>
          <w:rFonts w:ascii="Times New Roman"/>
          <w:b w:val="false"/>
          <w:i w:val="false"/>
          <w:color w:val="000000"/>
          <w:sz w:val="28"/>
        </w:rPr>
        <w:t>
      4) организацию обмена сообщениями о заключении сделок с ценными бумагами и иными финансовыми инструментами между клиентами центрального депозитария;</w:t>
      </w:r>
    </w:p>
    <w:bookmarkEnd w:id="177"/>
    <w:bookmarkStart w:name="z211" w:id="178"/>
    <w:p>
      <w:pPr>
        <w:spacing w:after="0"/>
        <w:ind w:left="0"/>
        <w:jc w:val="both"/>
      </w:pPr>
      <w:r>
        <w:rPr>
          <w:rFonts w:ascii="Times New Roman"/>
          <w:b w:val="false"/>
          <w:i w:val="false"/>
          <w:color w:val="000000"/>
          <w:sz w:val="28"/>
        </w:rPr>
        <w:t>
      5) Центральный депозитарий осуществляет предоставление информации об эмитенте и его ценных бумагах, цифровых финансовых активах для инвесторов;</w:t>
      </w:r>
    </w:p>
    <w:bookmarkEnd w:id="178"/>
    <w:bookmarkStart w:name="z212" w:id="179"/>
    <w:p>
      <w:pPr>
        <w:spacing w:after="0"/>
        <w:ind w:left="0"/>
        <w:jc w:val="both"/>
      </w:pPr>
      <w:r>
        <w:rPr>
          <w:rFonts w:ascii="Times New Roman"/>
          <w:b w:val="false"/>
          <w:i w:val="false"/>
          <w:color w:val="000000"/>
          <w:sz w:val="28"/>
        </w:rPr>
        <w:t xml:space="preserve">
      6)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w:t>
      </w:r>
      <w:r>
        <w:rPr>
          <w:rFonts w:ascii="Times New Roman"/>
          <w:b w:val="false"/>
          <w:i w:val="false"/>
          <w:color w:val="000000"/>
          <w:sz w:val="28"/>
        </w:rPr>
        <w:t>Законом</w:t>
      </w:r>
      <w:r>
        <w:rPr>
          <w:rFonts w:ascii="Times New Roman"/>
          <w:b w:val="false"/>
          <w:i w:val="false"/>
          <w:color w:val="000000"/>
          <w:sz w:val="28"/>
        </w:rPr>
        <w:t xml:space="preserve"> о цифровых активах.</w:t>
      </w:r>
    </w:p>
    <w:bookmarkEnd w:id="179"/>
    <w:bookmarkStart w:name="z213" w:id="180"/>
    <w:p>
      <w:pPr>
        <w:spacing w:after="0"/>
        <w:ind w:left="0"/>
        <w:jc w:val="both"/>
      </w:pPr>
      <w:r>
        <w:rPr>
          <w:rFonts w:ascii="Times New Roman"/>
          <w:b w:val="false"/>
          <w:i w:val="false"/>
          <w:color w:val="000000"/>
          <w:sz w:val="28"/>
        </w:rPr>
        <w:t>
      Порядок осуществления центральным депозитарием деятельности по организации торговли ценными бумагами, оператора платформы цифровых активов и оператора торговой платформы цифровых финансовых активов и иными финансовыми инструментами устанавливается сводом правил центрального депозитария.";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215" w:id="181"/>
    <w:p>
      <w:pPr>
        <w:spacing w:after="0"/>
        <w:ind w:left="0"/>
        <w:jc w:val="both"/>
      </w:pPr>
      <w:r>
        <w:rPr>
          <w:rFonts w:ascii="Times New Roman"/>
          <w:b w:val="false"/>
          <w:i w:val="false"/>
          <w:color w:val="000000"/>
          <w:sz w:val="28"/>
        </w:rPr>
        <w:t>
      "12-3. Центральный депозитарий представляет в уполномоченный орган уведомление об итогах погашения облигаций (в том числе выпущенных в электронно-цифровой форме) в течение 1 (одного) месяца после окончания срока погашения, установленного проспектом выпуска облигаций (частным меморандумом).</w:t>
      </w:r>
    </w:p>
    <w:bookmarkEnd w:id="181"/>
    <w:bookmarkStart w:name="z216" w:id="182"/>
    <w:p>
      <w:pPr>
        <w:spacing w:after="0"/>
        <w:ind w:left="0"/>
        <w:jc w:val="both"/>
      </w:pPr>
      <w:r>
        <w:rPr>
          <w:rFonts w:ascii="Times New Roman"/>
          <w:b w:val="false"/>
          <w:i w:val="false"/>
          <w:color w:val="000000"/>
          <w:sz w:val="28"/>
        </w:rPr>
        <w:t>
      Уведомление центрального депозитария содержит информацию об исполнении эмитентом своих обязательств по погашению облигаций с указанием:</w:t>
      </w:r>
    </w:p>
    <w:bookmarkEnd w:id="182"/>
    <w:bookmarkStart w:name="z217" w:id="183"/>
    <w:p>
      <w:pPr>
        <w:spacing w:after="0"/>
        <w:ind w:left="0"/>
        <w:jc w:val="both"/>
      </w:pPr>
      <w:r>
        <w:rPr>
          <w:rFonts w:ascii="Times New Roman"/>
          <w:b w:val="false"/>
          <w:i w:val="false"/>
          <w:color w:val="000000"/>
          <w:sz w:val="28"/>
        </w:rPr>
        <w:t>
      1) сведений об облигациях (ISIN, наименование эмитента);</w:t>
      </w:r>
    </w:p>
    <w:bookmarkEnd w:id="183"/>
    <w:bookmarkStart w:name="z218" w:id="184"/>
    <w:p>
      <w:pPr>
        <w:spacing w:after="0"/>
        <w:ind w:left="0"/>
        <w:jc w:val="both"/>
      </w:pPr>
      <w:r>
        <w:rPr>
          <w:rFonts w:ascii="Times New Roman"/>
          <w:b w:val="false"/>
          <w:i w:val="false"/>
          <w:color w:val="000000"/>
          <w:sz w:val="28"/>
        </w:rPr>
        <w:t>
      2) даты погашения облигаций;</w:t>
      </w:r>
    </w:p>
    <w:bookmarkEnd w:id="184"/>
    <w:bookmarkStart w:name="z219" w:id="185"/>
    <w:p>
      <w:pPr>
        <w:spacing w:after="0"/>
        <w:ind w:left="0"/>
        <w:jc w:val="both"/>
      </w:pPr>
      <w:r>
        <w:rPr>
          <w:rFonts w:ascii="Times New Roman"/>
          <w:b w:val="false"/>
          <w:i w:val="false"/>
          <w:color w:val="000000"/>
          <w:sz w:val="28"/>
        </w:rPr>
        <w:t>
      3) номинальной стоимости облигаций;</w:t>
      </w:r>
    </w:p>
    <w:bookmarkEnd w:id="185"/>
    <w:bookmarkStart w:name="z220" w:id="186"/>
    <w:p>
      <w:pPr>
        <w:spacing w:after="0"/>
        <w:ind w:left="0"/>
        <w:jc w:val="both"/>
      </w:pPr>
      <w:r>
        <w:rPr>
          <w:rFonts w:ascii="Times New Roman"/>
          <w:b w:val="false"/>
          <w:i w:val="false"/>
          <w:color w:val="000000"/>
          <w:sz w:val="28"/>
        </w:rPr>
        <w:t>
      4) сведений о количестве выкупленных эмитентом облигаций по состоянию на дату погашения облигаций;</w:t>
      </w:r>
    </w:p>
    <w:bookmarkEnd w:id="186"/>
    <w:bookmarkStart w:name="z221" w:id="187"/>
    <w:p>
      <w:pPr>
        <w:spacing w:after="0"/>
        <w:ind w:left="0"/>
        <w:jc w:val="both"/>
      </w:pPr>
      <w:r>
        <w:rPr>
          <w:rFonts w:ascii="Times New Roman"/>
          <w:b w:val="false"/>
          <w:i w:val="false"/>
          <w:color w:val="000000"/>
          <w:sz w:val="28"/>
        </w:rPr>
        <w:t>
      5) сведений о количестве облигаций, находящихся в обращении на дату их погашения;</w:t>
      </w:r>
    </w:p>
    <w:bookmarkEnd w:id="187"/>
    <w:bookmarkStart w:name="z222" w:id="188"/>
    <w:p>
      <w:pPr>
        <w:spacing w:after="0"/>
        <w:ind w:left="0"/>
        <w:jc w:val="both"/>
      </w:pPr>
      <w:r>
        <w:rPr>
          <w:rFonts w:ascii="Times New Roman"/>
          <w:b w:val="false"/>
          <w:i w:val="false"/>
          <w:color w:val="000000"/>
          <w:sz w:val="28"/>
        </w:rPr>
        <w:t>
      6) суммарного размера выплаченного вознаграждения за последний купонный период по облигациям и суммы погашения номинальной стоимости.</w:t>
      </w:r>
    </w:p>
    <w:bookmarkEnd w:id="188"/>
    <w:bookmarkStart w:name="z223" w:id="189"/>
    <w:p>
      <w:pPr>
        <w:spacing w:after="0"/>
        <w:ind w:left="0"/>
        <w:jc w:val="both"/>
      </w:pPr>
      <w:r>
        <w:rPr>
          <w:rFonts w:ascii="Times New Roman"/>
          <w:b w:val="false"/>
          <w:i w:val="false"/>
          <w:color w:val="000000"/>
          <w:sz w:val="28"/>
        </w:rPr>
        <w:t>
      Если эмитентом не исполнены обязательства по погашению облигаций и данные ценные бумаги заменены на права требования по обязательствам эмитента по эмиссионным ценным бумагам, информация, указанная в части второй настоящего пункта, не представляется.";</w:t>
      </w:r>
    </w:p>
    <w:bookmarkEnd w:id="189"/>
    <w:bookmarkStart w:name="z224" w:id="190"/>
    <w:p>
      <w:pPr>
        <w:spacing w:after="0"/>
        <w:ind w:left="0"/>
        <w:jc w:val="both"/>
      </w:pPr>
      <w:r>
        <w:rPr>
          <w:rFonts w:ascii="Times New Roman"/>
          <w:b w:val="false"/>
          <w:i w:val="false"/>
          <w:color w:val="000000"/>
          <w:sz w:val="28"/>
        </w:rPr>
        <w:t>
      дополнить пунктами 12-4 и 12-5 следующего содержания:</w:t>
      </w:r>
    </w:p>
    <w:bookmarkEnd w:id="190"/>
    <w:bookmarkStart w:name="z225" w:id="191"/>
    <w:p>
      <w:pPr>
        <w:spacing w:after="0"/>
        <w:ind w:left="0"/>
        <w:jc w:val="both"/>
      </w:pPr>
      <w:r>
        <w:rPr>
          <w:rFonts w:ascii="Times New Roman"/>
          <w:b w:val="false"/>
          <w:i w:val="false"/>
          <w:color w:val="000000"/>
          <w:sz w:val="28"/>
        </w:rPr>
        <w:t>
      "12-4. Центральный депозитарий осуществляет деятельность в качестве оператора платформы цифровых финансовых активов и (или) оператора торговой платформы цифровых финансовых активов при условии соответствия квалификационным требованиям, установленным Национальным Банком Республики Казахстан для осуществления указанной деятельности.</w:t>
      </w:r>
    </w:p>
    <w:bookmarkEnd w:id="191"/>
    <w:bookmarkStart w:name="z226" w:id="192"/>
    <w:p>
      <w:pPr>
        <w:spacing w:after="0"/>
        <w:ind w:left="0"/>
        <w:jc w:val="both"/>
      </w:pPr>
      <w:r>
        <w:rPr>
          <w:rFonts w:ascii="Times New Roman"/>
          <w:b w:val="false"/>
          <w:i w:val="false"/>
          <w:color w:val="000000"/>
          <w:sz w:val="28"/>
        </w:rPr>
        <w:t>
      Порядок осуществления центральным депозитарием деятельности оператора платформы цифровых активов и оператора торговой платформы цифровых финансовых активов устанавливается законодательством Республики Казахстан о цифровых активах и сводом правил центрального депозитария.</w:t>
      </w:r>
    </w:p>
    <w:bookmarkEnd w:id="192"/>
    <w:bookmarkStart w:name="z227" w:id="193"/>
    <w:p>
      <w:pPr>
        <w:spacing w:after="0"/>
        <w:ind w:left="0"/>
        <w:jc w:val="both"/>
      </w:pPr>
      <w:r>
        <w:rPr>
          <w:rFonts w:ascii="Times New Roman"/>
          <w:b w:val="false"/>
          <w:i w:val="false"/>
          <w:color w:val="000000"/>
          <w:sz w:val="28"/>
        </w:rPr>
        <w:t>
      12-5. Центральный депозитарий осуществляет отражение сделок с цифровыми финансовыми активами, зарегистрированных в системе учета держателей цифровых финансовых активов, в системе реестров держателей ценных бумаг и цифровых финансовых активов. Особенности учета прав по цифровым финансовым активам, а также условия и порядок подтверждения таких прав, устанавливаются сводом правил центрального депозитария.</w:t>
      </w:r>
    </w:p>
    <w:bookmarkEnd w:id="193"/>
    <w:bookmarkStart w:name="z228" w:id="194"/>
    <w:p>
      <w:pPr>
        <w:spacing w:after="0"/>
        <w:ind w:left="0"/>
        <w:jc w:val="both"/>
      </w:pPr>
      <w:r>
        <w:rPr>
          <w:rFonts w:ascii="Times New Roman"/>
          <w:b w:val="false"/>
          <w:i w:val="false"/>
          <w:color w:val="000000"/>
          <w:sz w:val="28"/>
        </w:rPr>
        <w:t>
      Центральный депозитарий осуществляет предоставление информации об эмитенте и его ценных бумагах, цифровых финансовых активах для инвесторов.";</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30" w:id="195"/>
    <w:p>
      <w:pPr>
        <w:spacing w:after="0"/>
        <w:ind w:left="0"/>
        <w:jc w:val="both"/>
      </w:pPr>
      <w:r>
        <w:rPr>
          <w:rFonts w:ascii="Times New Roman"/>
          <w:b w:val="false"/>
          <w:i w:val="false"/>
          <w:color w:val="000000"/>
          <w:sz w:val="28"/>
        </w:rPr>
        <w:t>
      "13. Центральный депозитарий оказывает услуги клиентам, клиринговым организациям, центральному контрагенту организованного и (или) неорганизованного рынка ценных бумаг, операторам платформ цифровых финансовых активов, операторам торговых платформ цифровых активов на условиях и в порядке, установленных Правилами и сводом правил центрального депозитария.";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32" w:id="196"/>
    <w:p>
      <w:pPr>
        <w:spacing w:after="0"/>
        <w:ind w:left="0"/>
        <w:jc w:val="both"/>
      </w:pPr>
      <w:r>
        <w:rPr>
          <w:rFonts w:ascii="Times New Roman"/>
          <w:b w:val="false"/>
          <w:i w:val="false"/>
          <w:color w:val="000000"/>
          <w:sz w:val="28"/>
        </w:rPr>
        <w:t>
      "21. Операции по регистрации сделок с финансовыми инструментами и информационные операции осуществляются центральным депозитарием на основании:</w:t>
      </w:r>
    </w:p>
    <w:bookmarkEnd w:id="196"/>
    <w:bookmarkStart w:name="z233" w:id="197"/>
    <w:p>
      <w:pPr>
        <w:spacing w:after="0"/>
        <w:ind w:left="0"/>
        <w:jc w:val="both"/>
      </w:pPr>
      <w:r>
        <w:rPr>
          <w:rFonts w:ascii="Times New Roman"/>
          <w:b w:val="false"/>
          <w:i w:val="false"/>
          <w:color w:val="000000"/>
          <w:sz w:val="28"/>
        </w:rPr>
        <w:t>
      1) соответствующих приказов депонентов или операторов счетов;</w:t>
      </w:r>
    </w:p>
    <w:bookmarkEnd w:id="197"/>
    <w:bookmarkStart w:name="z234" w:id="198"/>
    <w:p>
      <w:pPr>
        <w:spacing w:after="0"/>
        <w:ind w:left="0"/>
        <w:jc w:val="both"/>
      </w:pPr>
      <w:r>
        <w:rPr>
          <w:rFonts w:ascii="Times New Roman"/>
          <w:b w:val="false"/>
          <w:i w:val="false"/>
          <w:color w:val="000000"/>
          <w:sz w:val="28"/>
        </w:rPr>
        <w:t>
      2) приказов организатора торгов;</w:t>
      </w:r>
    </w:p>
    <w:bookmarkEnd w:id="198"/>
    <w:bookmarkStart w:name="z235" w:id="199"/>
    <w:p>
      <w:pPr>
        <w:spacing w:after="0"/>
        <w:ind w:left="0"/>
        <w:jc w:val="both"/>
      </w:pPr>
      <w:r>
        <w:rPr>
          <w:rFonts w:ascii="Times New Roman"/>
          <w:b w:val="false"/>
          <w:i w:val="false"/>
          <w:color w:val="000000"/>
          <w:sz w:val="28"/>
        </w:rPr>
        <w:t>
      3) приказов клиринговой организации и (или) центрального контрагента;</w:t>
      </w:r>
    </w:p>
    <w:bookmarkEnd w:id="199"/>
    <w:bookmarkStart w:name="z236" w:id="200"/>
    <w:p>
      <w:pPr>
        <w:spacing w:after="0"/>
        <w:ind w:left="0"/>
        <w:jc w:val="both"/>
      </w:pPr>
      <w:r>
        <w:rPr>
          <w:rFonts w:ascii="Times New Roman"/>
          <w:b w:val="false"/>
          <w:i w:val="false"/>
          <w:color w:val="000000"/>
          <w:sz w:val="28"/>
        </w:rPr>
        <w:t>
      4) приказов и (или) иных указаний (документов), полученных посредством цифровых систем Bloomberg (Блумберг) и (или) Reuters (Рейтер) в порядке и на условиях, определенных договором, заключенным между провайдерами данных цифровых систем и центральным депозитарием;</w:t>
      </w:r>
    </w:p>
    <w:bookmarkEnd w:id="200"/>
    <w:bookmarkStart w:name="z237" w:id="201"/>
    <w:p>
      <w:pPr>
        <w:spacing w:after="0"/>
        <w:ind w:left="0"/>
        <w:jc w:val="both"/>
      </w:pPr>
      <w:r>
        <w:rPr>
          <w:rFonts w:ascii="Times New Roman"/>
          <w:b w:val="false"/>
          <w:i w:val="false"/>
          <w:color w:val="000000"/>
          <w:sz w:val="28"/>
        </w:rPr>
        <w:t>
      5) приказов фондовой биржи или клиринговой организации, функционирующих на территории Международного финансового центра "Астана", в порядке и на условиях, определенных договором, заключенным между данной фондовой биржей или клиринговой организацией и центральным депозитарием;</w:t>
      </w:r>
    </w:p>
    <w:bookmarkEnd w:id="201"/>
    <w:bookmarkStart w:name="z238" w:id="202"/>
    <w:p>
      <w:pPr>
        <w:spacing w:after="0"/>
        <w:ind w:left="0"/>
        <w:jc w:val="both"/>
      </w:pPr>
      <w:r>
        <w:rPr>
          <w:rFonts w:ascii="Times New Roman"/>
          <w:b w:val="false"/>
          <w:i w:val="false"/>
          <w:color w:val="000000"/>
          <w:sz w:val="28"/>
        </w:rPr>
        <w:t>
      6) приказов и (или) иных указаний (документов) иностранной организации, уполномоченной на осуществление деятельности по организации торговли ценными бумагами и иными финансовыми инструментами на территории иностранного государства или клиринговой организации, уполномоченной на осуществление деятельности на территории иностранного государства, в порядке и на условиях, определенных договором, заключенным между данной иностранной организацией или клиринговой организацией и центральным депозитарием;</w:t>
      </w:r>
    </w:p>
    <w:bookmarkEnd w:id="202"/>
    <w:bookmarkStart w:name="z239" w:id="203"/>
    <w:p>
      <w:pPr>
        <w:spacing w:after="0"/>
        <w:ind w:left="0"/>
        <w:jc w:val="both"/>
      </w:pPr>
      <w:r>
        <w:rPr>
          <w:rFonts w:ascii="Times New Roman"/>
          <w:b w:val="false"/>
          <w:i w:val="false"/>
          <w:color w:val="000000"/>
          <w:sz w:val="28"/>
        </w:rPr>
        <w:t>
      7) приказа клиента депонента, заключившего с центральным депозитарием договор в порядке, установленном сводом правил центрального депозитария;</w:t>
      </w:r>
    </w:p>
    <w:bookmarkEnd w:id="203"/>
    <w:bookmarkStart w:name="z240" w:id="204"/>
    <w:p>
      <w:pPr>
        <w:spacing w:after="0"/>
        <w:ind w:left="0"/>
        <w:jc w:val="both"/>
      </w:pPr>
      <w:r>
        <w:rPr>
          <w:rFonts w:ascii="Times New Roman"/>
          <w:b w:val="false"/>
          <w:i w:val="false"/>
          <w:color w:val="000000"/>
          <w:sz w:val="28"/>
        </w:rPr>
        <w:t>
      8) соответствующих приказов юридических и физических лиц, которым центральный депозитарий оказывает услуги по кастодиальному обслуживанию.</w:t>
      </w:r>
    </w:p>
    <w:bookmarkEnd w:id="204"/>
    <w:bookmarkStart w:name="z241" w:id="205"/>
    <w:p>
      <w:pPr>
        <w:spacing w:after="0"/>
        <w:ind w:left="0"/>
        <w:jc w:val="both"/>
      </w:pPr>
      <w:r>
        <w:rPr>
          <w:rFonts w:ascii="Times New Roman"/>
          <w:b w:val="false"/>
          <w:i w:val="false"/>
          <w:color w:val="000000"/>
          <w:sz w:val="28"/>
        </w:rPr>
        <w:t>
      При обращении клиентов депонента в центральный депозитарий в порядке и на условиях, предусмотренных его сводом правил, центральный депозитарий осуществляет информационные операции на основании приказов клиентов депонента.</w:t>
      </w:r>
    </w:p>
    <w:bookmarkEnd w:id="205"/>
    <w:bookmarkStart w:name="z242" w:id="206"/>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отказ в письменном виде или в форме электронного документа с использованием цифровых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206"/>
    <w:bookmarkStart w:name="z243" w:id="207"/>
    <w:p>
      <w:pPr>
        <w:spacing w:after="0"/>
        <w:ind w:left="0"/>
        <w:jc w:val="both"/>
      </w:pPr>
      <w:r>
        <w:rPr>
          <w:rFonts w:ascii="Times New Roman"/>
          <w:b w:val="false"/>
          <w:i w:val="false"/>
          <w:color w:val="000000"/>
          <w:sz w:val="28"/>
        </w:rPr>
        <w:t>
      1) приостановления действия или лишения (отзыва) лицензии и (или) приложения к лицензии клиента центрального депозитария на осуществление профессиональной деятельности на рынке ценных бумаг (за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w:t>
      </w:r>
    </w:p>
    <w:bookmarkEnd w:id="207"/>
    <w:bookmarkStart w:name="z244" w:id="208"/>
    <w:p>
      <w:pPr>
        <w:spacing w:after="0"/>
        <w:ind w:left="0"/>
        <w:jc w:val="both"/>
      </w:pPr>
      <w:r>
        <w:rPr>
          <w:rFonts w:ascii="Times New Roman"/>
          <w:b w:val="false"/>
          <w:i w:val="false"/>
          <w:color w:val="000000"/>
          <w:sz w:val="28"/>
        </w:rPr>
        <w:t>
      2) приостановления или прекращения обращения ценных бумаг уполномоченным органом или государственными органами, уполномоченными на приостановление или прекращение обращения ценных бумаг (за исключением информационных операций);</w:t>
      </w:r>
    </w:p>
    <w:bookmarkEnd w:id="208"/>
    <w:bookmarkStart w:name="z245" w:id="209"/>
    <w:p>
      <w:pPr>
        <w:spacing w:after="0"/>
        <w:ind w:left="0"/>
        <w:jc w:val="both"/>
      </w:pPr>
      <w:r>
        <w:rPr>
          <w:rFonts w:ascii="Times New Roman"/>
          <w:b w:val="false"/>
          <w:i w:val="false"/>
          <w:color w:val="000000"/>
          <w:sz w:val="28"/>
        </w:rPr>
        <w:t>
      3) приостановления или прекращения обращения ценных бумаг в соответствии с условиями выпуска ценных бумаг (за исключением информационных операций, операций, необходимых при смене номинального держателя, или проводимых при погашении таких ценных бумаг, а также операций по списанию ценных бумаг с субсчетов, открытых добровольным накопительным пенсионным фондам, и зачислению на субсчет, открытый единому накопительному пенсионному фонду);</w:t>
      </w:r>
    </w:p>
    <w:bookmarkEnd w:id="209"/>
    <w:bookmarkStart w:name="z246" w:id="210"/>
    <w:p>
      <w:pPr>
        <w:spacing w:after="0"/>
        <w:ind w:left="0"/>
        <w:jc w:val="both"/>
      </w:pPr>
      <w:r>
        <w:rPr>
          <w:rFonts w:ascii="Times New Roman"/>
          <w:b w:val="false"/>
          <w:i w:val="false"/>
          <w:color w:val="000000"/>
          <w:sz w:val="28"/>
        </w:rPr>
        <w:t>
      4) несоответствия приказа форме, установленной сводом правил центрального депозитария;</w:t>
      </w:r>
    </w:p>
    <w:bookmarkEnd w:id="210"/>
    <w:bookmarkStart w:name="z247" w:id="211"/>
    <w:p>
      <w:pPr>
        <w:spacing w:after="0"/>
        <w:ind w:left="0"/>
        <w:jc w:val="both"/>
      </w:pPr>
      <w:r>
        <w:rPr>
          <w:rFonts w:ascii="Times New Roman"/>
          <w:b w:val="false"/>
          <w:i w:val="false"/>
          <w:color w:val="000000"/>
          <w:sz w:val="28"/>
        </w:rPr>
        <w:t>
      5) отсутствия реквизитов приказа, обязательных для заполнения, а также наличия исправлений или помарок;</w:t>
      </w:r>
    </w:p>
    <w:bookmarkEnd w:id="211"/>
    <w:bookmarkStart w:name="z248" w:id="212"/>
    <w:p>
      <w:pPr>
        <w:spacing w:after="0"/>
        <w:ind w:left="0"/>
        <w:jc w:val="both"/>
      </w:pPr>
      <w:r>
        <w:rPr>
          <w:rFonts w:ascii="Times New Roman"/>
          <w:b w:val="false"/>
          <w:i w:val="false"/>
          <w:color w:val="000000"/>
          <w:sz w:val="28"/>
        </w:rPr>
        <w:t>
      6) несоответствия образцов подписей на приказах образцам, засвидетельствованным нотариально;</w:t>
      </w:r>
    </w:p>
    <w:bookmarkEnd w:id="212"/>
    <w:bookmarkStart w:name="z249" w:id="213"/>
    <w:p>
      <w:pPr>
        <w:spacing w:after="0"/>
        <w:ind w:left="0"/>
        <w:jc w:val="both"/>
      </w:pPr>
      <w:r>
        <w:rPr>
          <w:rFonts w:ascii="Times New Roman"/>
          <w:b w:val="false"/>
          <w:i w:val="false"/>
          <w:color w:val="000000"/>
          <w:sz w:val="28"/>
        </w:rPr>
        <w:t xml:space="preserve">
      7) ценные бумаги, и (или) цифровые финансовые активы и (или) лицевой счет (субсчет), указанные в приказе, заблокированы, за исключением случаев, указанных в </w:t>
      </w:r>
      <w:r>
        <w:rPr>
          <w:rFonts w:ascii="Times New Roman"/>
          <w:b w:val="false"/>
          <w:i w:val="false"/>
          <w:color w:val="000000"/>
          <w:sz w:val="28"/>
        </w:rPr>
        <w:t>статье 65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213"/>
    <w:bookmarkStart w:name="z250" w:id="214"/>
    <w:p>
      <w:pPr>
        <w:spacing w:after="0"/>
        <w:ind w:left="0"/>
        <w:jc w:val="both"/>
      </w:pPr>
      <w:r>
        <w:rPr>
          <w:rFonts w:ascii="Times New Roman"/>
          <w:b w:val="false"/>
          <w:i w:val="false"/>
          <w:color w:val="000000"/>
          <w:sz w:val="28"/>
        </w:rPr>
        <w:t xml:space="preserve">
      8) обременения финансовых инструментов, указанных в приказе, за исключением проведения операций по списанию (зачислению) финансовых инструментов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14"/>
    <w:bookmarkStart w:name="z251" w:id="215"/>
    <w:p>
      <w:pPr>
        <w:spacing w:after="0"/>
        <w:ind w:left="0"/>
        <w:jc w:val="both"/>
      </w:pPr>
      <w:r>
        <w:rPr>
          <w:rFonts w:ascii="Times New Roman"/>
          <w:b w:val="false"/>
          <w:i w:val="false"/>
          <w:color w:val="000000"/>
          <w:sz w:val="28"/>
        </w:rPr>
        <w:t>
      9) отсутствия необходимого количества финансовых инструментов и (или) денег на счетах (субсчетах) клиентов центрального депозитария, за исключением случаев, установленных сводом правил центрального депозитария в отношении отдельных видов приказов, расчеты по которым осуществляются учетной организацией;</w:t>
      </w:r>
    </w:p>
    <w:bookmarkEnd w:id="215"/>
    <w:bookmarkStart w:name="z252" w:id="216"/>
    <w:p>
      <w:pPr>
        <w:spacing w:after="0"/>
        <w:ind w:left="0"/>
        <w:jc w:val="both"/>
      </w:pPr>
      <w:r>
        <w:rPr>
          <w:rFonts w:ascii="Times New Roman"/>
          <w:b w:val="false"/>
          <w:i w:val="false"/>
          <w:color w:val="000000"/>
          <w:sz w:val="28"/>
        </w:rPr>
        <w:t>
      10) отсутствия встречного приказа, если необходимость его предоставления установлена законодательством Республики Казахстан о рынке ценных бумаг;</w:t>
      </w:r>
    </w:p>
    <w:bookmarkEnd w:id="216"/>
    <w:bookmarkStart w:name="z253" w:id="217"/>
    <w:p>
      <w:pPr>
        <w:spacing w:after="0"/>
        <w:ind w:left="0"/>
        <w:jc w:val="both"/>
      </w:pPr>
      <w:r>
        <w:rPr>
          <w:rFonts w:ascii="Times New Roman"/>
          <w:b w:val="false"/>
          <w:i w:val="false"/>
          <w:color w:val="000000"/>
          <w:sz w:val="28"/>
        </w:rPr>
        <w:t>
      11) получения уведомления о неисполнении учетной организацией приказа центрального депозитария на ввод (вывод) финансовых инструментов в (из) номинального держания;</w:t>
      </w:r>
    </w:p>
    <w:bookmarkEnd w:id="217"/>
    <w:bookmarkStart w:name="z254" w:id="218"/>
    <w:p>
      <w:pPr>
        <w:spacing w:after="0"/>
        <w:ind w:left="0"/>
        <w:jc w:val="both"/>
      </w:pPr>
      <w:r>
        <w:rPr>
          <w:rFonts w:ascii="Times New Roman"/>
          <w:b w:val="false"/>
          <w:i w:val="false"/>
          <w:color w:val="000000"/>
          <w:sz w:val="28"/>
        </w:rPr>
        <w:t>
      12) несоответствия сделки законодательству Республики Казахстан о рынке ценных бумаг;</w:t>
      </w:r>
    </w:p>
    <w:bookmarkEnd w:id="218"/>
    <w:bookmarkStart w:name="z255" w:id="219"/>
    <w:p>
      <w:pPr>
        <w:spacing w:after="0"/>
        <w:ind w:left="0"/>
        <w:jc w:val="both"/>
      </w:pPr>
      <w:r>
        <w:rPr>
          <w:rFonts w:ascii="Times New Roman"/>
          <w:b w:val="false"/>
          <w:i w:val="false"/>
          <w:color w:val="000000"/>
          <w:sz w:val="28"/>
        </w:rPr>
        <w:t>
      13) в случаях, установленных сводом правил центрального депозитария.</w:t>
      </w:r>
    </w:p>
    <w:bookmarkEnd w:id="219"/>
    <w:bookmarkStart w:name="z256" w:id="220"/>
    <w:p>
      <w:pPr>
        <w:spacing w:after="0"/>
        <w:ind w:left="0"/>
        <w:jc w:val="both"/>
      </w:pPr>
      <w:r>
        <w:rPr>
          <w:rFonts w:ascii="Times New Roman"/>
          <w:b w:val="false"/>
          <w:i w:val="false"/>
          <w:color w:val="000000"/>
          <w:sz w:val="28"/>
        </w:rPr>
        <w:t>
      Отказ в письменном виде направляется видами связи, предусмотренными сводом правил центрального депозитария.</w:t>
      </w:r>
    </w:p>
    <w:bookmarkEnd w:id="220"/>
    <w:bookmarkStart w:name="z257" w:id="221"/>
    <w:p>
      <w:pPr>
        <w:spacing w:after="0"/>
        <w:ind w:left="0"/>
        <w:jc w:val="both"/>
      </w:pPr>
      <w:r>
        <w:rPr>
          <w:rFonts w:ascii="Times New Roman"/>
          <w:b w:val="false"/>
          <w:i w:val="false"/>
          <w:color w:val="000000"/>
          <w:sz w:val="28"/>
        </w:rPr>
        <w:t>
      Положения настоящего пункта в части, касающейся цифровых финансовых активов, применяются исключительно в случае, если центральный депозитарий осуществляет деятельность в качестве оператора платформы цифровых финансовых активов.";</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59" w:id="222"/>
    <w:p>
      <w:pPr>
        <w:spacing w:after="0"/>
        <w:ind w:left="0"/>
        <w:jc w:val="both"/>
      </w:pPr>
      <w:r>
        <w:rPr>
          <w:rFonts w:ascii="Times New Roman"/>
          <w:b w:val="false"/>
          <w:i w:val="false"/>
          <w:color w:val="000000"/>
          <w:sz w:val="28"/>
        </w:rPr>
        <w:t xml:space="preserve">
      "32. Учет государственных ценных бумаг (в том числе выпущенных в электронно-цифровой форме) и прав по ним осуществляется центральным депозитарием. Условия и порядок осуществления центральным депозитарием депозитарного обслуживания государственных ценных бумаг (в том числе выпущенными в электронно-цифровой форме) определяются </w:t>
      </w:r>
      <w:r>
        <w:rPr>
          <w:rFonts w:ascii="Times New Roman"/>
          <w:b w:val="false"/>
          <w:i w:val="false"/>
          <w:color w:val="000000"/>
          <w:sz w:val="28"/>
        </w:rPr>
        <w:t>статьей 7</w:t>
      </w:r>
      <w:r>
        <w:rPr>
          <w:rFonts w:ascii="Times New Roman"/>
          <w:b w:val="false"/>
          <w:i w:val="false"/>
          <w:color w:val="000000"/>
          <w:sz w:val="28"/>
        </w:rPr>
        <w:t xml:space="preserve"> Закона о рынке ценных бумаг и сводом правил центрального депозитария.</w:t>
      </w:r>
    </w:p>
    <w:bookmarkEnd w:id="222"/>
    <w:bookmarkStart w:name="z260" w:id="223"/>
    <w:p>
      <w:pPr>
        <w:spacing w:after="0"/>
        <w:ind w:left="0"/>
        <w:jc w:val="both"/>
      </w:pPr>
      <w:r>
        <w:rPr>
          <w:rFonts w:ascii="Times New Roman"/>
          <w:b w:val="false"/>
          <w:i w:val="false"/>
          <w:color w:val="000000"/>
          <w:sz w:val="28"/>
        </w:rPr>
        <w:t>
      33. Центральный депозитарий в порядке, установленном сводом правил центрального депозитария, отчитывается перед клиентами (операторами счетов) и (или) держателями ценных бумаг и (или) цифровых финансовых активов о состоянии их лицевых счетов (субсчетов), банковских счетов и операциях, проводимых по указанным счетам, сведения о которых имеются в системе учета центрального депозитария.</w:t>
      </w:r>
    </w:p>
    <w:bookmarkEnd w:id="223"/>
    <w:bookmarkStart w:name="z261" w:id="224"/>
    <w:p>
      <w:pPr>
        <w:spacing w:after="0"/>
        <w:ind w:left="0"/>
        <w:jc w:val="both"/>
      </w:pPr>
      <w:r>
        <w:rPr>
          <w:rFonts w:ascii="Times New Roman"/>
          <w:b w:val="false"/>
          <w:i w:val="false"/>
          <w:color w:val="000000"/>
          <w:sz w:val="28"/>
        </w:rPr>
        <w:t>
      Сроки представления выписок с лицевых счетов (субсчетов) и банковских счетов клиентов и (или) держателей ценных бумаг и (или) цифровых финансовых активов устанавливаются сводом правил центрального депозитария.</w:t>
      </w:r>
    </w:p>
    <w:bookmarkEnd w:id="224"/>
    <w:bookmarkStart w:name="z262" w:id="225"/>
    <w:p>
      <w:pPr>
        <w:spacing w:after="0"/>
        <w:ind w:left="0"/>
        <w:jc w:val="both"/>
      </w:pPr>
      <w:r>
        <w:rPr>
          <w:rFonts w:ascii="Times New Roman"/>
          <w:b w:val="false"/>
          <w:i w:val="false"/>
          <w:color w:val="000000"/>
          <w:sz w:val="28"/>
        </w:rPr>
        <w:t>
      Положения настоящего пункта в части, касающейся цифровых финансовых активов, применяются исключительно в случае, если центральный депозитарий осуществляет деятельность в качестве оператора платформы цифровых финансовых активов.".</w:t>
      </w:r>
    </w:p>
    <w:bookmarkEnd w:id="225"/>
    <w:bookmarkStart w:name="z263" w:id="22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319 "Об утверждении Правил и условий признания действий субъекта рынка ценных бумаг и иных лиц как совершенных в целях манипулирования на рынке ценных бумаг, Правил создания и работы экспертного комитета, а также его количественного состава" (зарегистрировано в Реестре государственной регистрации нормативных правовых актов под № 18169) следующее изменение:</w:t>
      </w:r>
    </w:p>
    <w:bookmarkEnd w:id="226"/>
    <w:bookmarkStart w:name="z264"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и работы экспертного комитета, а также его количественный состав, утвержденных указанным постановлением: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6" w:id="228"/>
    <w:p>
      <w:pPr>
        <w:spacing w:after="0"/>
        <w:ind w:left="0"/>
        <w:jc w:val="both"/>
      </w:pPr>
      <w:r>
        <w:rPr>
          <w:rFonts w:ascii="Times New Roman"/>
          <w:b w:val="false"/>
          <w:i w:val="false"/>
          <w:color w:val="000000"/>
          <w:sz w:val="28"/>
        </w:rPr>
        <w:t>
      Заседания экспертного комитета проводятся в очной, заочной либо смешанной формах по мере необходимости.</w:t>
      </w:r>
    </w:p>
    <w:bookmarkEnd w:id="228"/>
    <w:bookmarkStart w:name="z267" w:id="229"/>
    <w:p>
      <w:pPr>
        <w:spacing w:after="0"/>
        <w:ind w:left="0"/>
        <w:jc w:val="both"/>
      </w:pPr>
      <w:r>
        <w:rPr>
          <w:rFonts w:ascii="Times New Roman"/>
          <w:b w:val="false"/>
          <w:i w:val="false"/>
          <w:color w:val="000000"/>
          <w:sz w:val="28"/>
        </w:rPr>
        <w:t>
      Кворум для проведения заседания экспертного комитета составляет не менее двух третей его членов. Каждый член экспертного комитета имеет один голос. При равенстве голосов, голос председателя экспертного комитета является решающим.</w:t>
      </w:r>
    </w:p>
    <w:bookmarkEnd w:id="229"/>
    <w:bookmarkStart w:name="z268" w:id="230"/>
    <w:p>
      <w:pPr>
        <w:spacing w:after="0"/>
        <w:ind w:left="0"/>
        <w:jc w:val="both"/>
      </w:pPr>
      <w:r>
        <w:rPr>
          <w:rFonts w:ascii="Times New Roman"/>
          <w:b w:val="false"/>
          <w:i w:val="false"/>
          <w:color w:val="000000"/>
          <w:sz w:val="28"/>
        </w:rPr>
        <w:t>
      Член экспертного комитета не участвует в заседании и подлежит отводу (самоотводу), если результат его голосования при принятии решения по рассматриваемому экспертным комитетом вопросу зависит от его личной заинтересованности. Отвод (самоотвод) мотивируется и заявляется до начала заседания либо в ходе заседания экспертного комитета. Решение об отводе (самоотводе) члена экспертного комитета принимается экспертным комитетом большинством голосов ее членов, участвующих в заседании, оглашается в присутствии члена экспертного комитета и отражается в протоколе, указанном в части седьмой настоящего пункта.</w:t>
      </w:r>
    </w:p>
    <w:bookmarkEnd w:id="230"/>
    <w:bookmarkStart w:name="z269" w:id="231"/>
    <w:p>
      <w:pPr>
        <w:spacing w:after="0"/>
        <w:ind w:left="0"/>
        <w:jc w:val="both"/>
      </w:pPr>
      <w:r>
        <w:rPr>
          <w:rFonts w:ascii="Times New Roman"/>
          <w:b w:val="false"/>
          <w:i w:val="false"/>
          <w:color w:val="000000"/>
          <w:sz w:val="28"/>
        </w:rPr>
        <w:t>
      Решения экспертного комитета принимаются простым большинством голосов членов экспертного комитета, участвовавших на заседании.</w:t>
      </w:r>
    </w:p>
    <w:bookmarkEnd w:id="231"/>
    <w:bookmarkStart w:name="z270" w:id="232"/>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если за принятие решения проголосовало простое большинство голосов членов экспертного комитета.</w:t>
      </w:r>
    </w:p>
    <w:bookmarkEnd w:id="232"/>
    <w:bookmarkStart w:name="z271" w:id="233"/>
    <w:p>
      <w:pPr>
        <w:spacing w:after="0"/>
        <w:ind w:left="0"/>
        <w:jc w:val="both"/>
      </w:pPr>
      <w:r>
        <w:rPr>
          <w:rFonts w:ascii="Times New Roman"/>
          <w:b w:val="false"/>
          <w:i w:val="false"/>
          <w:color w:val="000000"/>
          <w:sz w:val="28"/>
        </w:rPr>
        <w:t>
      Заочное голосование в случае необходимости применяется вместе с голосованием членов экспертного комитета, присутствующих на заседании (смешанное голосование). При определении кворума, решения которого принимаются посредством смешанного голосования, учитываются бюллетени членов экспертного комитета, проголосовавших заочно, представленные до начала проведения заседания экспертного комитета.</w:t>
      </w:r>
    </w:p>
    <w:bookmarkEnd w:id="233"/>
    <w:bookmarkStart w:name="z272" w:id="234"/>
    <w:p>
      <w:pPr>
        <w:spacing w:after="0"/>
        <w:ind w:left="0"/>
        <w:jc w:val="both"/>
      </w:pPr>
      <w:r>
        <w:rPr>
          <w:rFonts w:ascii="Times New Roman"/>
          <w:b w:val="false"/>
          <w:i w:val="false"/>
          <w:color w:val="000000"/>
          <w:sz w:val="28"/>
        </w:rPr>
        <w:t>
      Решения экспертного комитета оформляются протоколом, подписываемым председателем и секретарем экспертного комитета в срок не позднее пятого рабочего дня после проведения заседания экспертного комитета, и экспертным заключением, подписываемым всеми членами экспертного комитета, принимавшими участие в голосовании.</w:t>
      </w:r>
    </w:p>
    <w:bookmarkEnd w:id="234"/>
    <w:bookmarkStart w:name="z273" w:id="235"/>
    <w:p>
      <w:pPr>
        <w:spacing w:after="0"/>
        <w:ind w:left="0"/>
        <w:jc w:val="both"/>
      </w:pPr>
      <w:r>
        <w:rPr>
          <w:rFonts w:ascii="Times New Roman"/>
          <w:b w:val="false"/>
          <w:i w:val="false"/>
          <w:color w:val="000000"/>
          <w:sz w:val="28"/>
        </w:rPr>
        <w:t>
      Вопросы, касающиеся действий субъекта рынка ценных бумаг и иных лиц в отношении иностранной валюты как совершенных в целях манипулирования, рассматриваются на заседании экспертного комитета, если на данном заседании принимает участие представитель Национального Банка Республики Казахстан.</w:t>
      </w:r>
    </w:p>
    <w:bookmarkEnd w:id="235"/>
    <w:bookmarkStart w:name="z274" w:id="236"/>
    <w:p>
      <w:pPr>
        <w:spacing w:after="0"/>
        <w:ind w:left="0"/>
        <w:jc w:val="both"/>
      </w:pPr>
      <w:r>
        <w:rPr>
          <w:rFonts w:ascii="Times New Roman"/>
          <w:b w:val="false"/>
          <w:i w:val="false"/>
          <w:color w:val="000000"/>
          <w:sz w:val="28"/>
        </w:rPr>
        <w:t>
      На заседаниях экспертного комитета, помимо прочего, рассматриваются действия субъекта рынка цифровых финансовых активов и иных лиц на предмет наличия признаков манипулирования. По результатам рассмотрения таких действий экспертный комитет выражает мнение о наличии либо отсутствии в данных действиях признаков манипулирования, оформленное экспертным заключением, которое используется уполномоченным органом при принятии решения о признании указанных действий как совершенных в целях манипулирования на рынке цифровых финансовых активов.".</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