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aa84" w14:textId="eb9a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минимальных требований по обеспечению информационной безопасности на финансовом рынке</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апреля 2026 года № 81. Зарегистрировано в Министерстве юстиции Республики Казахстан 22 апреля 2026 года № 38505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13-6 Закона Республики Казахстан "О государственном регулировании, контроле и надзоре финансового рынка и финансовых организаций" и </w:t>
      </w:r>
      <w:r>
        <w:rPr>
          <w:rFonts w:ascii="Times New Roman"/>
          <w:b w:val="false"/>
          <w:i w:val="false"/>
          <w:color w:val="000000"/>
          <w:sz w:val="28"/>
        </w:rPr>
        <w:t>подпунктом 86–1)</w:t>
      </w:r>
      <w:r>
        <w:rPr>
          <w:rFonts w:ascii="Times New Roman"/>
          <w:b w:val="false"/>
          <w:i w:val="false"/>
          <w:color w:val="000000"/>
          <w:sz w:val="28"/>
        </w:rPr>
        <w:t xml:space="preserve"> пункта 14 Положения об Агентстве Республики Казахстан по регулированию и развитию финансового рынка, утвержденного Указом Президента Республики Казахстан от 11 ноября 2019 года № 203,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минимальные </w:t>
      </w:r>
      <w:r>
        <w:rPr>
          <w:rFonts w:ascii="Times New Roman"/>
          <w:b w:val="false"/>
          <w:i w:val="false"/>
          <w:color w:val="000000"/>
          <w:sz w:val="28"/>
        </w:rPr>
        <w:t>требования</w:t>
      </w:r>
      <w:r>
        <w:rPr>
          <w:rFonts w:ascii="Times New Roman"/>
          <w:b w:val="false"/>
          <w:i w:val="false"/>
          <w:color w:val="000000"/>
          <w:sz w:val="28"/>
        </w:rPr>
        <w:t xml:space="preserve"> по обеспечению информационной безопасности на финансовом рынке.</w:t>
      </w:r>
    </w:p>
    <w:bookmarkEnd w:id="1"/>
    <w:bookmarkStart w:name="z7" w:id="2"/>
    <w:p>
      <w:pPr>
        <w:spacing w:after="0"/>
        <w:ind w:left="0"/>
        <w:jc w:val="both"/>
      </w:pPr>
      <w:r>
        <w:rPr>
          <w:rFonts w:ascii="Times New Roman"/>
          <w:b w:val="false"/>
          <w:i w:val="false"/>
          <w:color w:val="000000"/>
          <w:sz w:val="28"/>
        </w:rPr>
        <w:t>
      2. Департаменту информационной и кибербезопасности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12 июля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20 апреля 2026 года № 81</w:t>
            </w:r>
          </w:p>
        </w:tc>
      </w:tr>
    </w:tbl>
    <w:bookmarkStart w:name="z15" w:id="8"/>
    <w:p>
      <w:pPr>
        <w:spacing w:after="0"/>
        <w:ind w:left="0"/>
        <w:jc w:val="left"/>
      </w:pPr>
      <w:r>
        <w:rPr>
          <w:rFonts w:ascii="Times New Roman"/>
          <w:b/>
          <w:i w:val="false"/>
          <w:color w:val="000000"/>
        </w:rPr>
        <w:t xml:space="preserve"> Минимальные требования по обеспечению информационной безопасности на финансовом рынке</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минимальные требования по обеспечению информационной безопасности на финансовом рынке (далее – Требования)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13-6 Закона Республики Казахстан "О государственном регулировании, контроле и надзоре финансового рынка и финансовых организаций" и </w:t>
      </w:r>
      <w:r>
        <w:rPr>
          <w:rFonts w:ascii="Times New Roman"/>
          <w:b w:val="false"/>
          <w:i w:val="false"/>
          <w:color w:val="000000"/>
          <w:sz w:val="28"/>
        </w:rPr>
        <w:t>подпунктом 86–1)</w:t>
      </w:r>
      <w:r>
        <w:rPr>
          <w:rFonts w:ascii="Times New Roman"/>
          <w:b w:val="false"/>
          <w:i w:val="false"/>
          <w:color w:val="000000"/>
          <w:sz w:val="28"/>
        </w:rPr>
        <w:t xml:space="preserve"> пункта 14 Положения об Агентстве Республики Казахстан по регулированию и развитию финансового рынка, утвержденного Указом Президента Республики Казахстан от 11 ноября 2019 года № 203.</w:t>
      </w:r>
    </w:p>
    <w:bookmarkEnd w:id="10"/>
    <w:bookmarkStart w:name="z18" w:id="11"/>
    <w:p>
      <w:pPr>
        <w:spacing w:after="0"/>
        <w:ind w:left="0"/>
        <w:jc w:val="both"/>
      </w:pPr>
      <w:r>
        <w:rPr>
          <w:rFonts w:ascii="Times New Roman"/>
          <w:b w:val="false"/>
          <w:i w:val="false"/>
          <w:color w:val="000000"/>
          <w:sz w:val="28"/>
        </w:rPr>
        <w:t>
      Целью Требований является регламентация основных процессов обеспечения информационной безопасности финансовых организаций, использующих в своей работе цифровые системы и (или) цифровую инфраструктуру.</w:t>
      </w:r>
    </w:p>
    <w:bookmarkEnd w:id="11"/>
    <w:bookmarkStart w:name="z19" w:id="12"/>
    <w:p>
      <w:pPr>
        <w:spacing w:after="0"/>
        <w:ind w:left="0"/>
        <w:jc w:val="both"/>
      </w:pPr>
      <w:r>
        <w:rPr>
          <w:rFonts w:ascii="Times New Roman"/>
          <w:b w:val="false"/>
          <w:i w:val="false"/>
          <w:color w:val="000000"/>
          <w:sz w:val="28"/>
        </w:rPr>
        <w:t>
      2. В Требованиях используются следующие термины и определения:</w:t>
      </w:r>
    </w:p>
    <w:bookmarkEnd w:id="12"/>
    <w:bookmarkStart w:name="z20" w:id="13"/>
    <w:p>
      <w:pPr>
        <w:spacing w:after="0"/>
        <w:ind w:left="0"/>
        <w:jc w:val="both"/>
      </w:pPr>
      <w:r>
        <w:rPr>
          <w:rFonts w:ascii="Times New Roman"/>
          <w:b w:val="false"/>
          <w:i w:val="false"/>
          <w:color w:val="000000"/>
          <w:sz w:val="28"/>
        </w:rPr>
        <w:t>
      1) информационная безопасность (далее – информационная безопасность) – состояние защищенности информации, от внешних и внутренних угроз, при котором обеспечены ее конфиденциальность, целостность и доступность";</w:t>
      </w:r>
    </w:p>
    <w:bookmarkEnd w:id="13"/>
    <w:bookmarkStart w:name="z21" w:id="14"/>
    <w:p>
      <w:pPr>
        <w:spacing w:after="0"/>
        <w:ind w:left="0"/>
        <w:jc w:val="both"/>
      </w:pPr>
      <w:r>
        <w:rPr>
          <w:rFonts w:ascii="Times New Roman"/>
          <w:b w:val="false"/>
          <w:i w:val="false"/>
          <w:color w:val="000000"/>
          <w:sz w:val="28"/>
        </w:rPr>
        <w:t>
      2) обеспечение информационной безопасности – процесс, направленный на поддержание состояния конфиденциальности, целостности и доступности информации в финансовой организации;</w:t>
      </w:r>
    </w:p>
    <w:bookmarkEnd w:id="14"/>
    <w:bookmarkStart w:name="z22" w:id="15"/>
    <w:p>
      <w:pPr>
        <w:spacing w:after="0"/>
        <w:ind w:left="0"/>
        <w:jc w:val="both"/>
      </w:pPr>
      <w:r>
        <w:rPr>
          <w:rFonts w:ascii="Times New Roman"/>
          <w:b w:val="false"/>
          <w:i w:val="false"/>
          <w:color w:val="000000"/>
          <w:sz w:val="28"/>
        </w:rPr>
        <w:t>
      3) средства обработки информации – средства обработки, хранения и резервного копирования цифровых ресурсов;</w:t>
      </w:r>
    </w:p>
    <w:bookmarkEnd w:id="15"/>
    <w:bookmarkStart w:name="z23" w:id="16"/>
    <w:p>
      <w:pPr>
        <w:spacing w:after="0"/>
        <w:ind w:left="0"/>
        <w:jc w:val="both"/>
      </w:pPr>
      <w:r>
        <w:rPr>
          <w:rFonts w:ascii="Times New Roman"/>
          <w:b w:val="false"/>
          <w:i w:val="false"/>
          <w:color w:val="000000"/>
          <w:sz w:val="28"/>
        </w:rPr>
        <w:t>
      4) государственная база данных изображений – база данных, принадлежащая государству, содержащая идентификационные данные физических лиц, а также соответствующие им эталонные изображения лица;</w:t>
      </w:r>
    </w:p>
    <w:bookmarkEnd w:id="16"/>
    <w:bookmarkStart w:name="z24" w:id="17"/>
    <w:p>
      <w:pPr>
        <w:spacing w:after="0"/>
        <w:ind w:left="0"/>
        <w:jc w:val="both"/>
      </w:pPr>
      <w:r>
        <w:rPr>
          <w:rFonts w:ascii="Times New Roman"/>
          <w:b w:val="false"/>
          <w:i w:val="false"/>
          <w:color w:val="000000"/>
          <w:sz w:val="28"/>
        </w:rPr>
        <w:t>
      5) цифровая инфраструктура – совокупность объектов цифровой инфраструктуры, предназначенных для обеспечения функционирования технологической среды в целях формирования цифровых ресурсов и предоставления доступа к ним;</w:t>
      </w:r>
    </w:p>
    <w:bookmarkEnd w:id="17"/>
    <w:bookmarkStart w:name="z25" w:id="18"/>
    <w:p>
      <w:pPr>
        <w:spacing w:after="0"/>
        <w:ind w:left="0"/>
        <w:jc w:val="both"/>
      </w:pPr>
      <w:r>
        <w:rPr>
          <w:rFonts w:ascii="Times New Roman"/>
          <w:b w:val="false"/>
          <w:i w:val="false"/>
          <w:color w:val="000000"/>
          <w:sz w:val="28"/>
        </w:rPr>
        <w:t>
      6) периметр защиты цифровой инфраструктуры (далее – периметр защиты) – совокупность программно-аппаратных средств, отделяющих цифровую инфраструктуру финансовой организации от внешних сетей телекоммуникаций и реализующих их защиту от угроз информационной безопасности.</w:t>
      </w:r>
    </w:p>
    <w:bookmarkEnd w:id="18"/>
    <w:bookmarkStart w:name="z26" w:id="19"/>
    <w:p>
      <w:pPr>
        <w:spacing w:after="0"/>
        <w:ind w:left="0"/>
        <w:jc w:val="left"/>
      </w:pPr>
      <w:r>
        <w:rPr>
          <w:rFonts w:ascii="Times New Roman"/>
          <w:b/>
          <w:i w:val="false"/>
          <w:color w:val="000000"/>
        </w:rPr>
        <w:t xml:space="preserve"> Глава 2. Организационные требования к обеспечению информационной безопасности</w:t>
      </w:r>
    </w:p>
    <w:bookmarkEnd w:id="19"/>
    <w:bookmarkStart w:name="z27" w:id="20"/>
    <w:p>
      <w:pPr>
        <w:spacing w:after="0"/>
        <w:ind w:left="0"/>
        <w:jc w:val="both"/>
      </w:pPr>
      <w:r>
        <w:rPr>
          <w:rFonts w:ascii="Times New Roman"/>
          <w:b w:val="false"/>
          <w:i w:val="false"/>
          <w:color w:val="000000"/>
          <w:sz w:val="28"/>
        </w:rPr>
        <w:t>
      3. Руководство финансовой организации утверждает политику информационной безопасности, которая устанавливает подходы к обеспечению информационной безопасности в финансовой организации.</w:t>
      </w:r>
    </w:p>
    <w:bookmarkEnd w:id="20"/>
    <w:bookmarkStart w:name="z28" w:id="21"/>
    <w:p>
      <w:pPr>
        <w:spacing w:after="0"/>
        <w:ind w:left="0"/>
        <w:jc w:val="both"/>
      </w:pPr>
      <w:r>
        <w:rPr>
          <w:rFonts w:ascii="Times New Roman"/>
          <w:b w:val="false"/>
          <w:i w:val="false"/>
          <w:color w:val="000000"/>
          <w:sz w:val="28"/>
        </w:rPr>
        <w:t>
      4. Первый руководитель финансовой организации несет персональную ответственность за обеспечение информационной безопасности финансовой организации.</w:t>
      </w:r>
    </w:p>
    <w:bookmarkEnd w:id="21"/>
    <w:bookmarkStart w:name="z29" w:id="22"/>
    <w:p>
      <w:pPr>
        <w:spacing w:after="0"/>
        <w:ind w:left="0"/>
        <w:jc w:val="both"/>
      </w:pPr>
      <w:r>
        <w:rPr>
          <w:rFonts w:ascii="Times New Roman"/>
          <w:b w:val="false"/>
          <w:i w:val="false"/>
          <w:color w:val="000000"/>
          <w:sz w:val="28"/>
        </w:rPr>
        <w:t>
      5. Финансовая организация обеспечивает ознакомление нового работника с основными внутренними документами и требованиями к обеспечению информационной безопасности под подпись не позднее 5 (пяти) рабочих дней с момента приема на работу. Результат ознакомления фиксируется в соответствующем журнале инструктажа или отдельном документе, подтверждающем прохождение инструктажа, который приобщается к личному делу работника.</w:t>
      </w:r>
    </w:p>
    <w:bookmarkEnd w:id="22"/>
    <w:bookmarkStart w:name="z30" w:id="23"/>
    <w:p>
      <w:pPr>
        <w:spacing w:after="0"/>
        <w:ind w:left="0"/>
        <w:jc w:val="both"/>
      </w:pPr>
      <w:r>
        <w:rPr>
          <w:rFonts w:ascii="Times New Roman"/>
          <w:b w:val="false"/>
          <w:i w:val="false"/>
          <w:color w:val="000000"/>
          <w:sz w:val="28"/>
        </w:rPr>
        <w:t>
      6. Финансовая организация обеспечивает информационную безопасность при доступе к своей цифровой инфраструктуре работников, клиентов финансовой организации, а также лиц, не являющихся работниками или клиентами финансовой организации (далее – третьи лица).</w:t>
      </w:r>
    </w:p>
    <w:bookmarkEnd w:id="23"/>
    <w:bookmarkStart w:name="z31" w:id="24"/>
    <w:p>
      <w:pPr>
        <w:spacing w:after="0"/>
        <w:ind w:left="0"/>
        <w:jc w:val="both"/>
      </w:pPr>
      <w:r>
        <w:rPr>
          <w:rFonts w:ascii="Times New Roman"/>
          <w:b w:val="false"/>
          <w:i w:val="false"/>
          <w:color w:val="000000"/>
          <w:sz w:val="28"/>
        </w:rPr>
        <w:t>
      7. В заключаемых с третьими лицами соглашениях, договорах, в соответствии с которыми третьи лица получают доступ к информации и(или) цифровой инфраструктуре финансовой организации, включаются положения о соблюдении третьими лицами требований к обеспечению информационной безопасности финансовой организации.</w:t>
      </w:r>
    </w:p>
    <w:bookmarkEnd w:id="24"/>
    <w:bookmarkStart w:name="z32" w:id="25"/>
    <w:p>
      <w:pPr>
        <w:spacing w:after="0"/>
        <w:ind w:left="0"/>
        <w:jc w:val="both"/>
      </w:pPr>
      <w:r>
        <w:rPr>
          <w:rFonts w:ascii="Times New Roman"/>
          <w:b w:val="false"/>
          <w:i w:val="false"/>
          <w:color w:val="000000"/>
          <w:sz w:val="28"/>
        </w:rPr>
        <w:t>
      8. Финансовая организация предоставляет в уполномоченный орган информацию о следующих выявленных инцидентах информационной безопасности:</w:t>
      </w:r>
    </w:p>
    <w:bookmarkEnd w:id="25"/>
    <w:bookmarkStart w:name="z33" w:id="26"/>
    <w:p>
      <w:pPr>
        <w:spacing w:after="0"/>
        <w:ind w:left="0"/>
        <w:jc w:val="both"/>
      </w:pPr>
      <w:r>
        <w:rPr>
          <w:rFonts w:ascii="Times New Roman"/>
          <w:b w:val="false"/>
          <w:i w:val="false"/>
          <w:color w:val="000000"/>
          <w:sz w:val="28"/>
        </w:rPr>
        <w:t>
      1) эксплуатация уязвимостей в прикладном и системном программном обеспечении;</w:t>
      </w:r>
    </w:p>
    <w:bookmarkEnd w:id="26"/>
    <w:bookmarkStart w:name="z34" w:id="27"/>
    <w:p>
      <w:pPr>
        <w:spacing w:after="0"/>
        <w:ind w:left="0"/>
        <w:jc w:val="both"/>
      </w:pPr>
      <w:r>
        <w:rPr>
          <w:rFonts w:ascii="Times New Roman"/>
          <w:b w:val="false"/>
          <w:i w:val="false"/>
          <w:color w:val="000000"/>
          <w:sz w:val="28"/>
        </w:rPr>
        <w:t>
      2) несанкционированный доступ в цифровую систему;</w:t>
      </w:r>
    </w:p>
    <w:bookmarkEnd w:id="27"/>
    <w:bookmarkStart w:name="z35" w:id="28"/>
    <w:p>
      <w:pPr>
        <w:spacing w:after="0"/>
        <w:ind w:left="0"/>
        <w:jc w:val="both"/>
      </w:pPr>
      <w:r>
        <w:rPr>
          <w:rFonts w:ascii="Times New Roman"/>
          <w:b w:val="false"/>
          <w:i w:val="false"/>
          <w:color w:val="000000"/>
          <w:sz w:val="28"/>
        </w:rPr>
        <w:t>
      3) атака "отказ в обслуживании" на цифровую систему или сеть передачи данных;</w:t>
      </w:r>
    </w:p>
    <w:bookmarkEnd w:id="28"/>
    <w:bookmarkStart w:name="z36" w:id="29"/>
    <w:p>
      <w:pPr>
        <w:spacing w:after="0"/>
        <w:ind w:left="0"/>
        <w:jc w:val="both"/>
      </w:pPr>
      <w:r>
        <w:rPr>
          <w:rFonts w:ascii="Times New Roman"/>
          <w:b w:val="false"/>
          <w:i w:val="false"/>
          <w:color w:val="000000"/>
          <w:sz w:val="28"/>
        </w:rPr>
        <w:t>
      4) заражение сервера вредоносной программой или кодом;</w:t>
      </w:r>
    </w:p>
    <w:bookmarkEnd w:id="29"/>
    <w:bookmarkStart w:name="z37" w:id="30"/>
    <w:p>
      <w:pPr>
        <w:spacing w:after="0"/>
        <w:ind w:left="0"/>
        <w:jc w:val="both"/>
      </w:pPr>
      <w:r>
        <w:rPr>
          <w:rFonts w:ascii="Times New Roman"/>
          <w:b w:val="false"/>
          <w:i w:val="false"/>
          <w:color w:val="000000"/>
          <w:sz w:val="28"/>
        </w:rPr>
        <w:t>
      5) совершение несанкционированного перевода денежных средств вследствие нарушения контролей информационной безопасности;</w:t>
      </w:r>
    </w:p>
    <w:bookmarkEnd w:id="30"/>
    <w:bookmarkStart w:name="z38" w:id="31"/>
    <w:p>
      <w:pPr>
        <w:spacing w:after="0"/>
        <w:ind w:left="0"/>
        <w:jc w:val="both"/>
      </w:pPr>
      <w:r>
        <w:rPr>
          <w:rFonts w:ascii="Times New Roman"/>
          <w:b w:val="false"/>
          <w:i w:val="false"/>
          <w:color w:val="000000"/>
          <w:sz w:val="28"/>
        </w:rPr>
        <w:t>
      6) нарушение работы систем идентификации и аутентификации клиента;</w:t>
      </w:r>
    </w:p>
    <w:bookmarkEnd w:id="31"/>
    <w:bookmarkStart w:name="z39" w:id="32"/>
    <w:p>
      <w:pPr>
        <w:spacing w:after="0"/>
        <w:ind w:left="0"/>
        <w:jc w:val="both"/>
      </w:pPr>
      <w:r>
        <w:rPr>
          <w:rFonts w:ascii="Times New Roman"/>
          <w:b w:val="false"/>
          <w:i w:val="false"/>
          <w:color w:val="000000"/>
          <w:sz w:val="28"/>
        </w:rPr>
        <w:t>
      7) иных инцидентах информационной безопасности, повлекших простои цифровых систем более одного часа.</w:t>
      </w:r>
    </w:p>
    <w:bookmarkEnd w:id="32"/>
    <w:bookmarkStart w:name="z40" w:id="33"/>
    <w:p>
      <w:pPr>
        <w:spacing w:after="0"/>
        <w:ind w:left="0"/>
        <w:jc w:val="both"/>
      </w:pPr>
      <w:r>
        <w:rPr>
          <w:rFonts w:ascii="Times New Roman"/>
          <w:b w:val="false"/>
          <w:i w:val="false"/>
          <w:color w:val="000000"/>
          <w:sz w:val="28"/>
        </w:rPr>
        <w:t>
      Информация об инцидентах информационной безопасности, указанных в настоящем пункте, предоставляется финансовой организацией незамедлительно посредством автоматизированной системы уполномоченного органа, предназначенной для обработки информации о событиях и инцидентах информационной безопасности (далее – АСОИ) или в электронном формате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End w:id="33"/>
    <w:bookmarkStart w:name="z41" w:id="34"/>
    <w:p>
      <w:pPr>
        <w:spacing w:after="0"/>
        <w:ind w:left="0"/>
        <w:jc w:val="both"/>
      </w:pPr>
      <w:r>
        <w:rPr>
          <w:rFonts w:ascii="Times New Roman"/>
          <w:b w:val="false"/>
          <w:i w:val="false"/>
          <w:color w:val="000000"/>
          <w:sz w:val="28"/>
        </w:rPr>
        <w:t>
      В случае недоступности вышеуказанных систем передача информации об инциденте осуществляется с телефонного номера финансовой организации, указанного при регистрации финансовой организации в АСОИ, на телефонный номер уполномоченного органа, указанный для связи на интернет-ресурсе уполномоченного органа в разделе "Информационная безопасность" с дублированием на бумажном носителе официальным письмом финансовой организации.</w:t>
      </w:r>
    </w:p>
    <w:bookmarkEnd w:id="34"/>
    <w:bookmarkStart w:name="z42" w:id="35"/>
    <w:p>
      <w:pPr>
        <w:spacing w:after="0"/>
        <w:ind w:left="0"/>
        <w:jc w:val="both"/>
      </w:pPr>
      <w:r>
        <w:rPr>
          <w:rFonts w:ascii="Times New Roman"/>
          <w:b w:val="false"/>
          <w:i w:val="false"/>
          <w:color w:val="000000"/>
          <w:sz w:val="28"/>
        </w:rPr>
        <w:t>
      При отсутствии подключения финансовой организации к АСОИ информация об инцидентах информационной безопасности передается на адрес электронной почты Агентства, указанный на интернет-ресурсе уполномоченного органа в разделе "Информационная безопасность".</w:t>
      </w:r>
    </w:p>
    <w:bookmarkEnd w:id="35"/>
    <w:bookmarkStart w:name="z43" w:id="36"/>
    <w:p>
      <w:pPr>
        <w:spacing w:after="0"/>
        <w:ind w:left="0"/>
        <w:jc w:val="both"/>
      </w:pPr>
      <w:r>
        <w:rPr>
          <w:rFonts w:ascii="Times New Roman"/>
          <w:b w:val="false"/>
          <w:i w:val="false"/>
          <w:color w:val="000000"/>
          <w:sz w:val="28"/>
        </w:rPr>
        <w:t>
      Для юридических лиц, пятьдесят и более процентов голосующих акций которых принадлежат Национальному Банку Республики Казахстан или находятся в его доверительном управлении, допускается передача сведений об инцидентах информационной безопасности посредством объектов цифровой инфраструктуры Национального Банка Республики Казахстан, интегрированных с АСОИ.</w:t>
      </w:r>
    </w:p>
    <w:bookmarkEnd w:id="36"/>
    <w:bookmarkStart w:name="z44" w:id="37"/>
    <w:p>
      <w:pPr>
        <w:spacing w:after="0"/>
        <w:ind w:left="0"/>
        <w:jc w:val="both"/>
      </w:pPr>
      <w:r>
        <w:rPr>
          <w:rFonts w:ascii="Times New Roman"/>
          <w:b w:val="false"/>
          <w:i w:val="false"/>
          <w:color w:val="000000"/>
          <w:sz w:val="28"/>
        </w:rPr>
        <w:t>
      9. Финансовая организация реализует меры физической безопасности в помещениях, в том числе организует пропускной и внутриобъектовый режим.</w:t>
      </w:r>
    </w:p>
    <w:bookmarkEnd w:id="37"/>
    <w:bookmarkStart w:name="z45" w:id="38"/>
    <w:p>
      <w:pPr>
        <w:spacing w:after="0"/>
        <w:ind w:left="0"/>
        <w:jc w:val="left"/>
      </w:pPr>
      <w:r>
        <w:rPr>
          <w:rFonts w:ascii="Times New Roman"/>
          <w:b/>
          <w:i w:val="false"/>
          <w:color w:val="000000"/>
        </w:rPr>
        <w:t xml:space="preserve"> Глава 3. Технические требования к обеспечению информационной безопасности</w:t>
      </w:r>
    </w:p>
    <w:bookmarkEnd w:id="38"/>
    <w:bookmarkStart w:name="z46" w:id="39"/>
    <w:p>
      <w:pPr>
        <w:spacing w:after="0"/>
        <w:ind w:left="0"/>
        <w:jc w:val="both"/>
      </w:pPr>
      <w:r>
        <w:rPr>
          <w:rFonts w:ascii="Times New Roman"/>
          <w:b w:val="false"/>
          <w:i w:val="false"/>
          <w:color w:val="000000"/>
          <w:sz w:val="28"/>
        </w:rPr>
        <w:t>
      10. Финансовая организация обеспечивает функционирование периметра защиты финансовой организации.</w:t>
      </w:r>
    </w:p>
    <w:bookmarkEnd w:id="39"/>
    <w:bookmarkStart w:name="z47" w:id="40"/>
    <w:p>
      <w:pPr>
        <w:spacing w:after="0"/>
        <w:ind w:left="0"/>
        <w:jc w:val="both"/>
      </w:pPr>
      <w:r>
        <w:rPr>
          <w:rFonts w:ascii="Times New Roman"/>
          <w:b w:val="false"/>
          <w:i w:val="false"/>
          <w:color w:val="000000"/>
          <w:sz w:val="28"/>
        </w:rPr>
        <w:t>
      11. Телекоммуникационные соединения, выходящие за пределы периметра защиты финансовой организации, подлежат шифрованию.</w:t>
      </w:r>
    </w:p>
    <w:bookmarkEnd w:id="40"/>
    <w:bookmarkStart w:name="z48" w:id="41"/>
    <w:p>
      <w:pPr>
        <w:spacing w:after="0"/>
        <w:ind w:left="0"/>
        <w:jc w:val="both"/>
      </w:pPr>
      <w:r>
        <w:rPr>
          <w:rFonts w:ascii="Times New Roman"/>
          <w:b w:val="false"/>
          <w:i w:val="false"/>
          <w:color w:val="000000"/>
          <w:sz w:val="28"/>
        </w:rPr>
        <w:t>
      12. Почтовые сервисы финансовых организаций, используемые в том числе для взаимодействия с государственными органами и гражданами Республики Казахстан, функционируют только на цифровой инфраструктуре, физически размещенной на территории Республики Казахстан (далее – казахстанские адреса электронной почты).</w:t>
      </w:r>
    </w:p>
    <w:bookmarkEnd w:id="41"/>
    <w:bookmarkStart w:name="z49" w:id="42"/>
    <w:p>
      <w:pPr>
        <w:spacing w:after="0"/>
        <w:ind w:left="0"/>
        <w:jc w:val="both"/>
      </w:pPr>
      <w:r>
        <w:rPr>
          <w:rFonts w:ascii="Times New Roman"/>
          <w:b w:val="false"/>
          <w:i w:val="false"/>
          <w:color w:val="000000"/>
          <w:sz w:val="28"/>
        </w:rPr>
        <w:t>
      13. Финансовая организация публикует в общедоступных источниках информацию о своих казахстанских адресах электронной почты с пояснением, что они должны использоваться гражданами Республики Казахстан для взаимодействия с финансовой организацией.</w:t>
      </w:r>
    </w:p>
    <w:bookmarkEnd w:id="42"/>
    <w:bookmarkStart w:name="z50" w:id="43"/>
    <w:p>
      <w:pPr>
        <w:spacing w:after="0"/>
        <w:ind w:left="0"/>
        <w:jc w:val="both"/>
      </w:pPr>
      <w:r>
        <w:rPr>
          <w:rFonts w:ascii="Times New Roman"/>
          <w:b w:val="false"/>
          <w:i w:val="false"/>
          <w:color w:val="000000"/>
          <w:sz w:val="28"/>
        </w:rPr>
        <w:t>
      14. Финансовая организация использует почтовые сервисы, обеспечивающие при отправке и получении электронных почтовых сообщений применение следующих защитных механизмов электронной почты: Sender Policy Framework (SPF), Domain Keys Identified Mail (DKIM), Domain-based Message Authentication Reporting &amp; Conformance (DMARC).</w:t>
      </w:r>
    </w:p>
    <w:bookmarkEnd w:id="43"/>
    <w:bookmarkStart w:name="z51" w:id="44"/>
    <w:p>
      <w:pPr>
        <w:spacing w:after="0"/>
        <w:ind w:left="0"/>
        <w:jc w:val="both"/>
      </w:pPr>
      <w:r>
        <w:rPr>
          <w:rFonts w:ascii="Times New Roman"/>
          <w:b w:val="false"/>
          <w:i w:val="false"/>
          <w:color w:val="000000"/>
          <w:sz w:val="28"/>
        </w:rPr>
        <w:t>
      15. Финансовая организация обеспечивает контроль изменения настроек и целостности конфигурационных файлов программно-аппаратных средств периметра защиты.</w:t>
      </w:r>
    </w:p>
    <w:bookmarkEnd w:id="44"/>
    <w:bookmarkStart w:name="z52" w:id="45"/>
    <w:p>
      <w:pPr>
        <w:spacing w:after="0"/>
        <w:ind w:left="0"/>
        <w:jc w:val="both"/>
      </w:pPr>
      <w:r>
        <w:rPr>
          <w:rFonts w:ascii="Times New Roman"/>
          <w:b w:val="false"/>
          <w:i w:val="false"/>
          <w:color w:val="000000"/>
          <w:sz w:val="28"/>
        </w:rPr>
        <w:t>
      16. Работникам финансовой организации не предоставляются права доступа локального администратора или аналогичные права доступа, за исключением случаев, когда права доступа локального администратора или права, аналогичные правам доступа локального администратора, требуются для функционирования программного обеспечения, используемого работником для исполнения своих функциональных обязанностей.</w:t>
      </w:r>
    </w:p>
    <w:bookmarkEnd w:id="45"/>
    <w:bookmarkStart w:name="z53" w:id="46"/>
    <w:p>
      <w:pPr>
        <w:spacing w:after="0"/>
        <w:ind w:left="0"/>
        <w:jc w:val="both"/>
      </w:pPr>
      <w:r>
        <w:rPr>
          <w:rFonts w:ascii="Times New Roman"/>
          <w:b w:val="false"/>
          <w:i w:val="false"/>
          <w:color w:val="000000"/>
          <w:sz w:val="28"/>
        </w:rPr>
        <w:t>
      17. Финансовая организация использует антивирусные системы или системы, контролирующие целостность и неизменность программной среды, как на серверах, так и на рабочих станциях, ноутбуках, мобильных устройствах (при наличии технической возможности) финансовой организации. При этом обеспечивается:</w:t>
      </w:r>
    </w:p>
    <w:bookmarkEnd w:id="46"/>
    <w:bookmarkStart w:name="z54" w:id="47"/>
    <w:p>
      <w:pPr>
        <w:spacing w:after="0"/>
        <w:ind w:left="0"/>
        <w:jc w:val="both"/>
      </w:pPr>
      <w:r>
        <w:rPr>
          <w:rFonts w:ascii="Times New Roman"/>
          <w:b w:val="false"/>
          <w:i w:val="false"/>
          <w:color w:val="000000"/>
          <w:sz w:val="28"/>
        </w:rPr>
        <w:t>
      1) наличие лицензий, обновлений и технической поддержки;</w:t>
      </w:r>
    </w:p>
    <w:bookmarkEnd w:id="47"/>
    <w:bookmarkStart w:name="z55" w:id="48"/>
    <w:p>
      <w:pPr>
        <w:spacing w:after="0"/>
        <w:ind w:left="0"/>
        <w:jc w:val="both"/>
      </w:pPr>
      <w:r>
        <w:rPr>
          <w:rFonts w:ascii="Times New Roman"/>
          <w:b w:val="false"/>
          <w:i w:val="false"/>
          <w:color w:val="000000"/>
          <w:sz w:val="28"/>
        </w:rPr>
        <w:t>
      2) обеспечение невозможности для конечного пользователя прерывания функционирования данной системы.</w:t>
      </w:r>
    </w:p>
    <w:bookmarkEnd w:id="48"/>
    <w:bookmarkStart w:name="z56" w:id="49"/>
    <w:p>
      <w:pPr>
        <w:spacing w:after="0"/>
        <w:ind w:left="0"/>
        <w:jc w:val="both"/>
      </w:pPr>
      <w:r>
        <w:rPr>
          <w:rFonts w:ascii="Times New Roman"/>
          <w:b w:val="false"/>
          <w:i w:val="false"/>
          <w:color w:val="000000"/>
          <w:sz w:val="28"/>
        </w:rPr>
        <w:t>
      18. В случаях размещения финансовой организацией серверных мощностей в сторонних центрах обработки данных, использования внешних сервисов обработки и (или) хранения данных исключается возможность доступа третьих лиц к информации, передача которой третьим лицам не допускается в соответствии с гражданским, банковским законодательством Республики Казахстан, законодательством Республики Казахстан о персональных данных и их защите.</w:t>
      </w:r>
    </w:p>
    <w:bookmarkEnd w:id="49"/>
    <w:bookmarkStart w:name="z57" w:id="50"/>
    <w:p>
      <w:pPr>
        <w:spacing w:after="0"/>
        <w:ind w:left="0"/>
        <w:jc w:val="both"/>
      </w:pPr>
      <w:r>
        <w:rPr>
          <w:rFonts w:ascii="Times New Roman"/>
          <w:b w:val="false"/>
          <w:i w:val="false"/>
          <w:color w:val="000000"/>
          <w:sz w:val="28"/>
        </w:rPr>
        <w:t>
      19. Резервное копирование цифровых систем и обрабатываемых в них данных обеспечивается финансовой организацией исходя из потребностей в восстановлении после сбоев в работе цифровых систем. Порядок и периодичность резервного копирования, хранения, восстановления данных, периодичность тестирования восстановления работоспособности цифровых систем из резервных копий определяется финансовой организацией во внутренних документах на основе проведенного анализа воздействия на бизнес.</w:t>
      </w:r>
    </w:p>
    <w:bookmarkEnd w:id="50"/>
    <w:bookmarkStart w:name="z58" w:id="51"/>
    <w:p>
      <w:pPr>
        <w:spacing w:after="0"/>
        <w:ind w:left="0"/>
        <w:jc w:val="left"/>
      </w:pPr>
      <w:r>
        <w:rPr>
          <w:rFonts w:ascii="Times New Roman"/>
          <w:b/>
          <w:i w:val="false"/>
          <w:color w:val="000000"/>
        </w:rPr>
        <w:t xml:space="preserve"> Глава 4. Обеспечение безопасности при организации доступа к цифровым системам</w:t>
      </w:r>
    </w:p>
    <w:bookmarkEnd w:id="51"/>
    <w:bookmarkStart w:name="z59" w:id="52"/>
    <w:p>
      <w:pPr>
        <w:spacing w:after="0"/>
        <w:ind w:left="0"/>
        <w:jc w:val="both"/>
      </w:pPr>
      <w:r>
        <w:rPr>
          <w:rFonts w:ascii="Times New Roman"/>
          <w:b w:val="false"/>
          <w:i w:val="false"/>
          <w:color w:val="000000"/>
          <w:sz w:val="28"/>
        </w:rPr>
        <w:t>
      20. Требования настоящей главы применяются к цифровым системам, используемым финансовой организацией для обработки, хранения или передачи информации, подлежащей защите в соответствии с законодательством Республики Казахстан, либо отнесенным к критичным по результатам оценки рисков информационной безопасности, проведенной в соответствии с требованиями уполномоченного органа.</w:t>
      </w:r>
    </w:p>
    <w:bookmarkEnd w:id="52"/>
    <w:bookmarkStart w:name="z60" w:id="53"/>
    <w:p>
      <w:pPr>
        <w:spacing w:after="0"/>
        <w:ind w:left="0"/>
        <w:jc w:val="both"/>
      </w:pPr>
      <w:r>
        <w:rPr>
          <w:rFonts w:ascii="Times New Roman"/>
          <w:b w:val="false"/>
          <w:i w:val="false"/>
          <w:color w:val="000000"/>
          <w:sz w:val="28"/>
        </w:rPr>
        <w:t>
      Финансовая организация составляет перечень цифровых систем, отнесенных к сфере применения требований настоящей главы (далее - Перечень).</w:t>
      </w:r>
    </w:p>
    <w:bookmarkEnd w:id="53"/>
    <w:bookmarkStart w:name="z61" w:id="54"/>
    <w:p>
      <w:pPr>
        <w:spacing w:after="0"/>
        <w:ind w:left="0"/>
        <w:jc w:val="both"/>
      </w:pPr>
      <w:r>
        <w:rPr>
          <w:rFonts w:ascii="Times New Roman"/>
          <w:b w:val="false"/>
          <w:i w:val="false"/>
          <w:color w:val="000000"/>
          <w:sz w:val="28"/>
        </w:rPr>
        <w:t>
      21. Доступ работников финансовой организации, третьих лиц, с которыми у финансовой организации заключены договорные отношения, (далее – пользователь) или клиентов финансовой организации (далее – клиент) к цифровым системам финансовой организации осуществляется по результатам процедуры идентификации и аутентификации, за исключением цифровых систем, по которым внутренним документом финансовой организации утвержден иной порядок доступа с обоснованием его целесообразности и безопасности.</w:t>
      </w:r>
    </w:p>
    <w:bookmarkEnd w:id="54"/>
    <w:bookmarkStart w:name="z62" w:id="55"/>
    <w:p>
      <w:pPr>
        <w:spacing w:after="0"/>
        <w:ind w:left="0"/>
        <w:jc w:val="both"/>
      </w:pPr>
      <w:r>
        <w:rPr>
          <w:rFonts w:ascii="Times New Roman"/>
          <w:b w:val="false"/>
          <w:i w:val="false"/>
          <w:color w:val="000000"/>
          <w:sz w:val="28"/>
        </w:rPr>
        <w:t>
      22. В цифровых системах финансовой организации используется функция ведения аудиторского следа, которая отражает как минимум:</w:t>
      </w:r>
    </w:p>
    <w:bookmarkEnd w:id="55"/>
    <w:bookmarkStart w:name="z63" w:id="56"/>
    <w:p>
      <w:pPr>
        <w:spacing w:after="0"/>
        <w:ind w:left="0"/>
        <w:jc w:val="both"/>
      </w:pPr>
      <w:r>
        <w:rPr>
          <w:rFonts w:ascii="Times New Roman"/>
          <w:b w:val="false"/>
          <w:i w:val="false"/>
          <w:color w:val="000000"/>
          <w:sz w:val="28"/>
        </w:rPr>
        <w:t>
      1) события установления соединений, идентификации, аутентификации и авторизации (успешные и неуспешные), включая IP-адрес источника соединения;</w:t>
      </w:r>
    </w:p>
    <w:bookmarkEnd w:id="56"/>
    <w:bookmarkStart w:name="z64" w:id="57"/>
    <w:p>
      <w:pPr>
        <w:spacing w:after="0"/>
        <w:ind w:left="0"/>
        <w:jc w:val="both"/>
      </w:pPr>
      <w:r>
        <w:rPr>
          <w:rFonts w:ascii="Times New Roman"/>
          <w:b w:val="false"/>
          <w:i w:val="false"/>
          <w:color w:val="000000"/>
          <w:sz w:val="28"/>
        </w:rPr>
        <w:t>
      2) события модификации настроек безопасности;</w:t>
      </w:r>
    </w:p>
    <w:bookmarkEnd w:id="57"/>
    <w:bookmarkStart w:name="z65" w:id="58"/>
    <w:p>
      <w:pPr>
        <w:spacing w:after="0"/>
        <w:ind w:left="0"/>
        <w:jc w:val="both"/>
      </w:pPr>
      <w:r>
        <w:rPr>
          <w:rFonts w:ascii="Times New Roman"/>
          <w:b w:val="false"/>
          <w:i w:val="false"/>
          <w:color w:val="000000"/>
          <w:sz w:val="28"/>
        </w:rPr>
        <w:t>
      3) события модификации групп пользователей и их полномочий;</w:t>
      </w:r>
    </w:p>
    <w:bookmarkEnd w:id="58"/>
    <w:bookmarkStart w:name="z66" w:id="59"/>
    <w:p>
      <w:pPr>
        <w:spacing w:after="0"/>
        <w:ind w:left="0"/>
        <w:jc w:val="both"/>
      </w:pPr>
      <w:r>
        <w:rPr>
          <w:rFonts w:ascii="Times New Roman"/>
          <w:b w:val="false"/>
          <w:i w:val="false"/>
          <w:color w:val="000000"/>
          <w:sz w:val="28"/>
        </w:rPr>
        <w:t>
      4) события модификации учетных записей пользователей и их полномочий;</w:t>
      </w:r>
    </w:p>
    <w:bookmarkEnd w:id="59"/>
    <w:bookmarkStart w:name="z67" w:id="60"/>
    <w:p>
      <w:pPr>
        <w:spacing w:after="0"/>
        <w:ind w:left="0"/>
        <w:jc w:val="both"/>
      </w:pPr>
      <w:r>
        <w:rPr>
          <w:rFonts w:ascii="Times New Roman"/>
          <w:b w:val="false"/>
          <w:i w:val="false"/>
          <w:color w:val="000000"/>
          <w:sz w:val="28"/>
        </w:rPr>
        <w:t>
      5) события, отражающие установку обновлений и (или) изменений;</w:t>
      </w:r>
    </w:p>
    <w:bookmarkEnd w:id="60"/>
    <w:bookmarkStart w:name="z68" w:id="61"/>
    <w:p>
      <w:pPr>
        <w:spacing w:after="0"/>
        <w:ind w:left="0"/>
        <w:jc w:val="both"/>
      </w:pPr>
      <w:r>
        <w:rPr>
          <w:rFonts w:ascii="Times New Roman"/>
          <w:b w:val="false"/>
          <w:i w:val="false"/>
          <w:color w:val="000000"/>
          <w:sz w:val="28"/>
        </w:rPr>
        <w:t>
      6) события изменения параметров ведения аудиторского следа.</w:t>
      </w:r>
    </w:p>
    <w:bookmarkEnd w:id="61"/>
    <w:bookmarkStart w:name="z69" w:id="62"/>
    <w:p>
      <w:pPr>
        <w:spacing w:after="0"/>
        <w:ind w:left="0"/>
        <w:jc w:val="both"/>
      </w:pPr>
      <w:r>
        <w:rPr>
          <w:rFonts w:ascii="Times New Roman"/>
          <w:b w:val="false"/>
          <w:i w:val="false"/>
          <w:color w:val="000000"/>
          <w:sz w:val="28"/>
        </w:rPr>
        <w:t>
      23. При хранении аудиторского следа обеспечивается контроль его неизменности. Срок хранения аудиторского следа составляет не менее 3 (трех) месяцев в оперативном доступе и не менее 1 (одного) года в архивном доступе, либо не менее 1 (одного) года в оперативном доступе.</w:t>
      </w:r>
    </w:p>
    <w:bookmarkEnd w:id="62"/>
    <w:bookmarkStart w:name="z70" w:id="63"/>
    <w:p>
      <w:pPr>
        <w:spacing w:after="0"/>
        <w:ind w:left="0"/>
        <w:jc w:val="both"/>
      </w:pPr>
      <w:r>
        <w:rPr>
          <w:rFonts w:ascii="Times New Roman"/>
          <w:b w:val="false"/>
          <w:i w:val="false"/>
          <w:color w:val="000000"/>
          <w:sz w:val="28"/>
        </w:rPr>
        <w:t>
      24. В целях обеспечения контроля деятельности пользователей и клиентов ведется аудиторский след действий их учетных записей в цифровых системах финансовой организации.</w:t>
      </w:r>
    </w:p>
    <w:bookmarkEnd w:id="63"/>
    <w:bookmarkStart w:name="z71" w:id="64"/>
    <w:p>
      <w:pPr>
        <w:spacing w:after="0"/>
        <w:ind w:left="0"/>
        <w:jc w:val="both"/>
      </w:pPr>
      <w:r>
        <w:rPr>
          <w:rFonts w:ascii="Times New Roman"/>
          <w:b w:val="false"/>
          <w:i w:val="false"/>
          <w:color w:val="000000"/>
          <w:sz w:val="28"/>
        </w:rPr>
        <w:t>
      25. Идентификация и аутентификация пользователя или клиента осуществляется при помощи одного или нескольких факторов, включая знание, владение или неотъемлемость. Фактор знания основывается на информации, которую должен знать пользователь или клиент. Фактор владения основывается на владении пользователя или клиента определенным физическим устройством или криптографическим ключом. Фактор неотъемлемости основывается на уникальных биометрических особенностях пользователя или клиента.</w:t>
      </w:r>
    </w:p>
    <w:bookmarkEnd w:id="64"/>
    <w:bookmarkStart w:name="z72" w:id="65"/>
    <w:p>
      <w:pPr>
        <w:spacing w:after="0"/>
        <w:ind w:left="0"/>
        <w:jc w:val="both"/>
      </w:pPr>
      <w:r>
        <w:rPr>
          <w:rFonts w:ascii="Times New Roman"/>
          <w:b w:val="false"/>
          <w:i w:val="false"/>
          <w:color w:val="000000"/>
          <w:sz w:val="28"/>
        </w:rPr>
        <w:t>
      26. Доступ пользователей и клиентов извне периметра защиты финансовой организации к цифровым системам осуществляется с применением как минимум двух различных факторов аутентификации.</w:t>
      </w:r>
    </w:p>
    <w:bookmarkEnd w:id="65"/>
    <w:bookmarkStart w:name="z73" w:id="66"/>
    <w:p>
      <w:pPr>
        <w:spacing w:after="0"/>
        <w:ind w:left="0"/>
        <w:jc w:val="both"/>
      </w:pPr>
      <w:r>
        <w:rPr>
          <w:rFonts w:ascii="Times New Roman"/>
          <w:b w:val="false"/>
          <w:i w:val="false"/>
          <w:color w:val="000000"/>
          <w:sz w:val="28"/>
        </w:rPr>
        <w:t>
      27. Доступ работника финансовой организации к цифровым системам осуществляется в соответствии с внутренними документами финансовой организации при наличии утвержденных документов финансовой организации, подтверждающих необходимость такого доступа для исполнения обязанностей работника.</w:t>
      </w:r>
    </w:p>
    <w:bookmarkEnd w:id="66"/>
    <w:bookmarkStart w:name="z74" w:id="67"/>
    <w:p>
      <w:pPr>
        <w:spacing w:after="0"/>
        <w:ind w:left="0"/>
        <w:jc w:val="both"/>
      </w:pPr>
      <w:r>
        <w:rPr>
          <w:rFonts w:ascii="Times New Roman"/>
          <w:b w:val="false"/>
          <w:i w:val="false"/>
          <w:color w:val="000000"/>
          <w:sz w:val="28"/>
        </w:rPr>
        <w:t>
      28. Доступ третьих лиц к цифровым системам осуществляется в соответствии с внутренними документами финансовой организации при наличии действующего договора, предусматривающего необходимость такого доступа третьим лицам к цифровым системам финансовой организации.</w:t>
      </w:r>
    </w:p>
    <w:bookmarkEnd w:id="67"/>
    <w:bookmarkStart w:name="z75" w:id="68"/>
    <w:p>
      <w:pPr>
        <w:spacing w:after="0"/>
        <w:ind w:left="0"/>
        <w:jc w:val="both"/>
      </w:pPr>
      <w:r>
        <w:rPr>
          <w:rFonts w:ascii="Times New Roman"/>
          <w:b w:val="false"/>
          <w:i w:val="false"/>
          <w:color w:val="000000"/>
          <w:sz w:val="28"/>
        </w:rPr>
        <w:t>
      29. Идентификация и аутентификация клиента финансовой организации осуществляется в соответствии с внутренними документами финансовой организации на основании данных, полученных при регистрации клиента финансовой организации.</w:t>
      </w:r>
    </w:p>
    <w:bookmarkEnd w:id="68"/>
    <w:bookmarkStart w:name="z76" w:id="69"/>
    <w:p>
      <w:pPr>
        <w:spacing w:after="0"/>
        <w:ind w:left="0"/>
        <w:jc w:val="both"/>
      </w:pPr>
      <w:r>
        <w:rPr>
          <w:rFonts w:ascii="Times New Roman"/>
          <w:b w:val="false"/>
          <w:i w:val="false"/>
          <w:color w:val="000000"/>
          <w:sz w:val="28"/>
        </w:rPr>
        <w:t>
      30. Регистрация клиента в цифровых системах финансовой организации осуществляется в соответствии с внутренними документами финансовой организации после подтверждения личности клиента. Для дистанционного подтверждения личности при регистрации применяется комбинация как минимум из следующих проверок:</w:t>
      </w:r>
    </w:p>
    <w:bookmarkEnd w:id="69"/>
    <w:bookmarkStart w:name="z77" w:id="70"/>
    <w:p>
      <w:pPr>
        <w:spacing w:after="0"/>
        <w:ind w:left="0"/>
        <w:jc w:val="both"/>
      </w:pPr>
      <w:r>
        <w:rPr>
          <w:rFonts w:ascii="Times New Roman"/>
          <w:b w:val="false"/>
          <w:i w:val="false"/>
          <w:color w:val="000000"/>
          <w:sz w:val="28"/>
        </w:rPr>
        <w:t>
      1) биометрическая проверка клиента по изображению лица с использованием государственной базы данных изображений или по биометрическим данным, полученным при личном присутствии клиента посредством специально предназначенных для этого устройств финансовой организации;</w:t>
      </w:r>
    </w:p>
    <w:bookmarkEnd w:id="70"/>
    <w:bookmarkStart w:name="z78" w:id="71"/>
    <w:p>
      <w:pPr>
        <w:spacing w:after="0"/>
        <w:ind w:left="0"/>
        <w:jc w:val="both"/>
      </w:pPr>
      <w:r>
        <w:rPr>
          <w:rFonts w:ascii="Times New Roman"/>
          <w:b w:val="false"/>
          <w:i w:val="false"/>
          <w:color w:val="000000"/>
          <w:sz w:val="28"/>
        </w:rPr>
        <w:t>
      2) проверка владения телефонным номером, зарегистрированным в государственной базе номеров мобильных телефонов граждан, либо проверка владения закрытым ключом сертификата электронной цифровой подписи, выпущенного аккредитованным удостоверяющим центром.</w:t>
      </w:r>
    </w:p>
    <w:bookmarkEnd w:id="71"/>
    <w:bookmarkStart w:name="z79" w:id="72"/>
    <w:p>
      <w:pPr>
        <w:spacing w:after="0"/>
        <w:ind w:left="0"/>
        <w:jc w:val="both"/>
      </w:pPr>
      <w:r>
        <w:rPr>
          <w:rFonts w:ascii="Times New Roman"/>
          <w:b w:val="false"/>
          <w:i w:val="false"/>
          <w:color w:val="000000"/>
          <w:sz w:val="28"/>
        </w:rPr>
        <w:t>
      31. В целях последующей идентификации и аутентификации клиента в ходе регистрации допускается сбор следующих данных:</w:t>
      </w:r>
    </w:p>
    <w:bookmarkEnd w:id="72"/>
    <w:bookmarkStart w:name="z80" w:id="73"/>
    <w:p>
      <w:pPr>
        <w:spacing w:after="0"/>
        <w:ind w:left="0"/>
        <w:jc w:val="both"/>
      </w:pPr>
      <w:r>
        <w:rPr>
          <w:rFonts w:ascii="Times New Roman"/>
          <w:b w:val="false"/>
          <w:i w:val="false"/>
          <w:color w:val="000000"/>
          <w:sz w:val="28"/>
        </w:rPr>
        <w:t>
      1) пароль, задаваемый клиентом;</w:t>
      </w:r>
    </w:p>
    <w:bookmarkEnd w:id="73"/>
    <w:bookmarkStart w:name="z81" w:id="74"/>
    <w:p>
      <w:pPr>
        <w:spacing w:after="0"/>
        <w:ind w:left="0"/>
        <w:jc w:val="both"/>
      </w:pPr>
      <w:r>
        <w:rPr>
          <w:rFonts w:ascii="Times New Roman"/>
          <w:b w:val="false"/>
          <w:i w:val="false"/>
          <w:color w:val="000000"/>
          <w:sz w:val="28"/>
        </w:rPr>
        <w:t>
      2) вектор инициализации, серийный номер или иная информация, необходимая для подключения аппаратного или программного генератора одноразовых паролей (OTP-генератора);</w:t>
      </w:r>
    </w:p>
    <w:bookmarkEnd w:id="74"/>
    <w:bookmarkStart w:name="z82" w:id="75"/>
    <w:p>
      <w:pPr>
        <w:spacing w:after="0"/>
        <w:ind w:left="0"/>
        <w:jc w:val="both"/>
      </w:pPr>
      <w:r>
        <w:rPr>
          <w:rFonts w:ascii="Times New Roman"/>
          <w:b w:val="false"/>
          <w:i w:val="false"/>
          <w:color w:val="000000"/>
          <w:sz w:val="28"/>
        </w:rPr>
        <w:t>
      3) уникальный идентификатор установки мобильного приложения на мобильное устройство, а также индивидуальные характеристики мобильного устройства;</w:t>
      </w:r>
    </w:p>
    <w:bookmarkEnd w:id="75"/>
    <w:bookmarkStart w:name="z83" w:id="76"/>
    <w:p>
      <w:pPr>
        <w:spacing w:after="0"/>
        <w:ind w:left="0"/>
        <w:jc w:val="both"/>
      </w:pPr>
      <w:r>
        <w:rPr>
          <w:rFonts w:ascii="Times New Roman"/>
          <w:b w:val="false"/>
          <w:i w:val="false"/>
          <w:color w:val="000000"/>
          <w:sz w:val="28"/>
        </w:rPr>
        <w:t>
      4) сертификат электронной цифровой подписи, соответствующий закрытому ключу, хранимому на устройстве клиента;</w:t>
      </w:r>
    </w:p>
    <w:bookmarkEnd w:id="76"/>
    <w:bookmarkStart w:name="z84" w:id="77"/>
    <w:p>
      <w:pPr>
        <w:spacing w:after="0"/>
        <w:ind w:left="0"/>
        <w:jc w:val="both"/>
      </w:pPr>
      <w:r>
        <w:rPr>
          <w:rFonts w:ascii="Times New Roman"/>
          <w:b w:val="false"/>
          <w:i w:val="false"/>
          <w:color w:val="000000"/>
          <w:sz w:val="28"/>
        </w:rPr>
        <w:t>
      5) дополнительный номер мобильного телефона, владение клиента которым подтверждено;</w:t>
      </w:r>
    </w:p>
    <w:bookmarkEnd w:id="77"/>
    <w:bookmarkStart w:name="z85" w:id="78"/>
    <w:p>
      <w:pPr>
        <w:spacing w:after="0"/>
        <w:ind w:left="0"/>
        <w:jc w:val="both"/>
      </w:pPr>
      <w:r>
        <w:rPr>
          <w:rFonts w:ascii="Times New Roman"/>
          <w:b w:val="false"/>
          <w:i w:val="false"/>
          <w:color w:val="000000"/>
          <w:sz w:val="28"/>
        </w:rPr>
        <w:t>
      6) биометрические данные клиента, проверенные посредством государственной базы данных изображений или полученные посредством устройств финансовой организации;</w:t>
      </w:r>
    </w:p>
    <w:bookmarkEnd w:id="78"/>
    <w:bookmarkStart w:name="z86" w:id="79"/>
    <w:p>
      <w:pPr>
        <w:spacing w:after="0"/>
        <w:ind w:left="0"/>
        <w:jc w:val="both"/>
      </w:pPr>
      <w:r>
        <w:rPr>
          <w:rFonts w:ascii="Times New Roman"/>
          <w:b w:val="false"/>
          <w:i w:val="false"/>
          <w:color w:val="000000"/>
          <w:sz w:val="28"/>
        </w:rPr>
        <w:t>
      7) открытый криптографический ключ, соответствующий закрытому криптографическому ключу, хранимому на устройстве клиента.</w:t>
      </w:r>
    </w:p>
    <w:bookmarkEnd w:id="79"/>
    <w:bookmarkStart w:name="z87" w:id="80"/>
    <w:p>
      <w:pPr>
        <w:spacing w:after="0"/>
        <w:ind w:left="0"/>
        <w:jc w:val="both"/>
      </w:pPr>
      <w:r>
        <w:rPr>
          <w:rFonts w:ascii="Times New Roman"/>
          <w:b w:val="false"/>
          <w:i w:val="false"/>
          <w:color w:val="000000"/>
          <w:sz w:val="28"/>
        </w:rPr>
        <w:t>
      32. Проверка владения мобильным телефонным номером осуществляется путем отправки на проверяемый мобильный телефонный номер сгенерированного непредсказуемого кода с последующим получением данного кода от владельца мобильного телефонного номера аутентифицирующей системой.</w:t>
      </w:r>
    </w:p>
    <w:bookmarkEnd w:id="80"/>
    <w:bookmarkStart w:name="z88" w:id="81"/>
    <w:p>
      <w:pPr>
        <w:spacing w:after="0"/>
        <w:ind w:left="0"/>
        <w:jc w:val="both"/>
      </w:pPr>
      <w:r>
        <w:rPr>
          <w:rFonts w:ascii="Times New Roman"/>
          <w:b w:val="false"/>
          <w:i w:val="false"/>
          <w:color w:val="000000"/>
          <w:sz w:val="28"/>
        </w:rPr>
        <w:t>
      33. Проверка владения закрытым ключом сертификата электронной цифровой подписи осуществляется в соответствии с правилами аккредитованного удостоверяющего центра, выпустившего данный сертификат электронной цифровой подписи.</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