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2f13" w14:textId="dad2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24 марта 2016 года № 49 "Об утверждении Правил ведения, использования и хранения специальных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16 апреля 2026 года № 64. Зарегистрирован в Министерстве юстиции Республики Казахстан 21 апреля 2026 года № 38491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24 марта 2016 года № 49 "Об утверждении Правил ведения, использования и хранения специальных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экстремистскими" (зарегистрирован в Реестре государственной регистрации нормативных правовых актов за № 13613)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подпунктов 10-1), 11) пункта 3,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правовой статистике и специальных учетах" и во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терроризму",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экстремизму",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специальных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Специальный учет ведется Комитетом и его территориальными органами посредством электронного журнала лиц, привлеченных к ответственности за осуществление террористической деятельности и совершение экстремизма (пункты 30) и 39)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электронный журнал) в цифровой системе Комитета.";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Требования в форме электронного документа (далее – электронные требования)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Цифровым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требовании подлежат заполнению все реквизиты, в случае отсутствия у проверяемого лица одного из анкетных данных соответствующий реквизит не заполняется. Полному указанию подлежат дата и место рождения. Если неизвестно число или месяц рождения, то в соответствующие графы вносится запись "00".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проверяемого лица индивидуального идентификационного номера сведения заполняются через Государственный банк данных "Физические лица".";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Требования на бумажных носителях исполняются в течение 5 (пяти) рабочих дней. Электронные требования исполняются в течение 3 (трех) рабочих дней, в случае необходимости проведения дополнительной проверки в течение 5 (пяти) рабочих дней.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 бумажных носителях местных органов военного управления при отсутствии взаимодействия между государственными цифровыми системами исполняются в течение 3 (трех) рабочих дней.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поступления требований в Комитет и его территориальные органы не входит в срок их исполнения.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ходе обработки электронных требований потребуется уточнение сведений о принятом процессуальном решении с направлением дополнительных запросов в соответствующие государственные органы или учреждения, то инициатору запроса направляется промежуточный ответ, где сообщается о необходимости повторного оформления электронного требования по истечении 10 (десяти) рабочих дней.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Результаты проверки отражаются на требовании с проставлением штампа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29. Исключением являются электронные требования, направленные посредством цифровых систем, подписанные электронной цифровой подписью.".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 после его официального опубликования;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пятого, шестого, седьмого, восьмого, одиннадцатого, тринадцатого и шестнадцатого пункта 1, которые вводятся в действие с 12 июля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