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3bd5" w14:textId="7b33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15 апреля 2026 года № 44. Зарегистрирован в Министерстве юстиции Республики Казахстан 17 апреля 2026 года № 38453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11" w:id="0"/>
    <w:p>
      <w:pPr>
        <w:spacing w:after="0"/>
        <w:ind w:left="0"/>
        <w:jc w:val="both"/>
      </w:pPr>
      <w:r>
        <w:rPr>
          <w:rFonts w:ascii="Times New Roman"/>
          <w:b w:val="false"/>
          <w:i w:val="false"/>
          <w:color w:val="000000"/>
          <w:sz w:val="28"/>
        </w:rPr>
        <w:t xml:space="preserve">
      ПРИКАЗЫВАЮ: </w:t>
      </w:r>
    </w:p>
    <w:bookmarkEnd w:id="0"/>
    <w:bookmarkStart w:name="z1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21766)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настоящего приказа изложить в следующей редакции:</w:t>
      </w:r>
    </w:p>
    <w:bookmarkStart w:name="z14" w:id="2"/>
    <w:p>
      <w:pPr>
        <w:spacing w:after="0"/>
        <w:ind w:left="0"/>
        <w:jc w:val="both"/>
      </w:pPr>
      <w:r>
        <w:rPr>
          <w:rFonts w:ascii="Times New Roman"/>
          <w:b w:val="false"/>
          <w:i w:val="false"/>
          <w:color w:val="000000"/>
          <w:sz w:val="28"/>
        </w:rPr>
        <w:t>
      "1. Утвердить прилагаемые:</w:t>
      </w:r>
    </w:p>
    <w:bookmarkEnd w:id="2"/>
    <w:bookmarkStart w:name="z15" w:id="3"/>
    <w:p>
      <w:pPr>
        <w:spacing w:after="0"/>
        <w:ind w:left="0"/>
        <w:jc w:val="both"/>
      </w:pPr>
      <w:r>
        <w:rPr>
          <w:rFonts w:ascii="Times New Roman"/>
          <w:b w:val="false"/>
          <w:i w:val="false"/>
          <w:color w:val="000000"/>
          <w:sz w:val="28"/>
        </w:rPr>
        <w:t xml:space="preserve">
      1) Правила регулирования, формирования предельных цен и наценки на лекарственные средства в рамках гарантированного объема бесплатной медицинской помощи и (или) в системе обязательного социального медицинского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16" w:id="4"/>
    <w:p>
      <w:pPr>
        <w:spacing w:after="0"/>
        <w:ind w:left="0"/>
        <w:jc w:val="both"/>
      </w:pPr>
      <w:r>
        <w:rPr>
          <w:rFonts w:ascii="Times New Roman"/>
          <w:b w:val="false"/>
          <w:i w:val="false"/>
          <w:color w:val="000000"/>
          <w:sz w:val="28"/>
        </w:rPr>
        <w:t xml:space="preserve">
      2) Правила регулирования, формирования предельных цен и наценки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регулирования, формирования предельных цен и наценки на лекарственные средства,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6"/>
    <w:p>
      <w:pPr>
        <w:spacing w:after="0"/>
        <w:ind w:left="0"/>
        <w:jc w:val="both"/>
      </w:pPr>
      <w:r>
        <w:rPr>
          <w:rFonts w:ascii="Times New Roman"/>
          <w:b w:val="false"/>
          <w:i w:val="false"/>
          <w:color w:val="000000"/>
          <w:sz w:val="28"/>
        </w:rPr>
        <w:t xml:space="preserve">
      "1. Настоящие Правила регулирования, формирования предельных цен и наценки на лекарственные средства (далее – ЛС) разработаны в соответствии с </w:t>
      </w:r>
      <w:r>
        <w:rPr>
          <w:rFonts w:ascii="Times New Roman"/>
          <w:b w:val="false"/>
          <w:i w:val="false"/>
          <w:color w:val="000000"/>
          <w:sz w:val="28"/>
        </w:rPr>
        <w:t>подпунктами 51)</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"Регистрация цены на лекарственные средства и медицинские изделия" (далее – государственная услуга).".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1"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22" w:id="8"/>
    <w:p>
      <w:pPr>
        <w:spacing w:after="0"/>
        <w:ind w:left="0"/>
        <w:jc w:val="both"/>
      </w:pPr>
      <w:r>
        <w:rPr>
          <w:rFonts w:ascii="Times New Roman"/>
          <w:b w:val="false"/>
          <w:i w:val="false"/>
          <w:color w:val="000000"/>
          <w:sz w:val="28"/>
        </w:rPr>
        <w:t>
      1)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8"/>
    <w:bookmarkStart w:name="z23" w:id="9"/>
    <w:p>
      <w:pPr>
        <w:spacing w:after="0"/>
        <w:ind w:left="0"/>
        <w:jc w:val="both"/>
      </w:pPr>
      <w:r>
        <w:rPr>
          <w:rFonts w:ascii="Times New Roman"/>
          <w:b w:val="false"/>
          <w:i w:val="false"/>
          <w:color w:val="000000"/>
          <w:sz w:val="28"/>
        </w:rPr>
        <w:t>
      2) предельная цена на торговое наименование ЛС для оптовой реализации – цена на торговое наименование ЛС, включенного в перечень ЛС, подлежащих ценовому регулированию, выше которой не может осуществляться его оптовая реализация;</w:t>
      </w:r>
    </w:p>
    <w:bookmarkEnd w:id="9"/>
    <w:bookmarkStart w:name="z24" w:id="10"/>
    <w:p>
      <w:pPr>
        <w:spacing w:after="0"/>
        <w:ind w:left="0"/>
        <w:jc w:val="both"/>
      </w:pPr>
      <w:r>
        <w:rPr>
          <w:rFonts w:ascii="Times New Roman"/>
          <w:b w:val="false"/>
          <w:i w:val="false"/>
          <w:color w:val="000000"/>
          <w:sz w:val="28"/>
        </w:rPr>
        <w:t>
      3) розничная наценка – надбавка к предельной цене на торговое наименование ЛС для оптовой реализации по регрессивной шкале, включающая прибыль и расходы, связанные с осуществлением розничной реализации ЛС, используемая для формирования предельной цены на торговое наименование ЛС для розничной реализации;</w:t>
      </w:r>
    </w:p>
    <w:bookmarkEnd w:id="10"/>
    <w:bookmarkStart w:name="z25" w:id="11"/>
    <w:p>
      <w:pPr>
        <w:spacing w:after="0"/>
        <w:ind w:left="0"/>
        <w:jc w:val="both"/>
      </w:pPr>
      <w:r>
        <w:rPr>
          <w:rFonts w:ascii="Times New Roman"/>
          <w:b w:val="false"/>
          <w:i w:val="false"/>
          <w:color w:val="000000"/>
          <w:sz w:val="28"/>
        </w:rPr>
        <w:t>
      4) регрессивная шкала розничной наценки – шкала розничной наценки в процентном выражении, зависимая от величины предельной цены на торговое наименование ЛС для оптовой реализации;</w:t>
      </w:r>
    </w:p>
    <w:bookmarkEnd w:id="11"/>
    <w:bookmarkStart w:name="z26" w:id="12"/>
    <w:p>
      <w:pPr>
        <w:spacing w:after="0"/>
        <w:ind w:left="0"/>
        <w:jc w:val="both"/>
      </w:pPr>
      <w:r>
        <w:rPr>
          <w:rFonts w:ascii="Times New Roman"/>
          <w:b w:val="false"/>
          <w:i w:val="false"/>
          <w:color w:val="000000"/>
          <w:sz w:val="28"/>
        </w:rPr>
        <w:t>
      5)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12"/>
    <w:bookmarkStart w:name="z27" w:id="13"/>
    <w:p>
      <w:pPr>
        <w:spacing w:after="0"/>
        <w:ind w:left="0"/>
        <w:jc w:val="both"/>
      </w:pPr>
      <w:r>
        <w:rPr>
          <w:rFonts w:ascii="Times New Roman"/>
          <w:b w:val="false"/>
          <w:i w:val="false"/>
          <w:color w:val="000000"/>
          <w:sz w:val="28"/>
        </w:rPr>
        <w:t>
      6)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ЛС и медицинских изделий (далее – МИ), качества оказания медицинских услуг (помощи);</w:t>
      </w:r>
    </w:p>
    <w:bookmarkEnd w:id="13"/>
    <w:bookmarkStart w:name="z28" w:id="14"/>
    <w:p>
      <w:pPr>
        <w:spacing w:after="0"/>
        <w:ind w:left="0"/>
        <w:jc w:val="both"/>
      </w:pPr>
      <w:r>
        <w:rPr>
          <w:rFonts w:ascii="Times New Roman"/>
          <w:b w:val="false"/>
          <w:i w:val="false"/>
          <w:color w:val="000000"/>
          <w:sz w:val="28"/>
        </w:rPr>
        <w:t>
      7) государственная экспертная организация в сфере обращения ЛС и МИ (далее – государственная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ЛС и МИ;</w:t>
      </w:r>
    </w:p>
    <w:bookmarkEnd w:id="14"/>
    <w:bookmarkStart w:name="z29" w:id="15"/>
    <w:p>
      <w:pPr>
        <w:spacing w:after="0"/>
        <w:ind w:left="0"/>
        <w:jc w:val="both"/>
      </w:pPr>
      <w:r>
        <w:rPr>
          <w:rFonts w:ascii="Times New Roman"/>
          <w:b w:val="false"/>
          <w:i w:val="false"/>
          <w:color w:val="000000"/>
          <w:sz w:val="28"/>
        </w:rPr>
        <w:t>
      8) государственный реестр ЛС и МИ – цифровой ресурс, содержащий сведения о зарегистрированных и разрешенных к медицинскому применению в Республике Казахстан ЛС и МИ;</w:t>
      </w:r>
    </w:p>
    <w:bookmarkEnd w:id="15"/>
    <w:bookmarkStart w:name="z30" w:id="16"/>
    <w:p>
      <w:pPr>
        <w:spacing w:after="0"/>
        <w:ind w:left="0"/>
        <w:jc w:val="both"/>
      </w:pPr>
      <w:r>
        <w:rPr>
          <w:rFonts w:ascii="Times New Roman"/>
          <w:b w:val="false"/>
          <w:i w:val="false"/>
          <w:color w:val="000000"/>
          <w:sz w:val="28"/>
        </w:rPr>
        <w:t>
      9) единица измерения ЛС (единица закупа) – единица дозированной (разделенной) лекарственной формы или ограниченного первичной упаковкой объема (массы) недозированной (неразделенной) лекарственной формы для ЛС;</w:t>
      </w:r>
    </w:p>
    <w:bookmarkEnd w:id="16"/>
    <w:bookmarkStart w:name="z31" w:id="17"/>
    <w:p>
      <w:pPr>
        <w:spacing w:after="0"/>
        <w:ind w:left="0"/>
        <w:jc w:val="both"/>
      </w:pPr>
      <w:r>
        <w:rPr>
          <w:rFonts w:ascii="Times New Roman"/>
          <w:b w:val="false"/>
          <w:i w:val="false"/>
          <w:color w:val="000000"/>
          <w:sz w:val="28"/>
        </w:rPr>
        <w:t>
      10) референтное ценообразование на ЛС - система анализа цен на торговое наименование ЛС, основанная на представленных заявителем ценах одного и того же производителя ЛС с одним и тем же активным веществом, с учетом лекарственной формы, концентрации и дозировки в референтных странах и данных сайтов международных организаций, в том числе в стране производителя ЛС при его реализации, а также фактической цены ввоза в Республику Казахстан;</w:t>
      </w:r>
    </w:p>
    <w:bookmarkEnd w:id="17"/>
    <w:bookmarkStart w:name="z32" w:id="18"/>
    <w:p>
      <w:pPr>
        <w:spacing w:after="0"/>
        <w:ind w:left="0"/>
        <w:jc w:val="both"/>
      </w:pPr>
      <w:r>
        <w:rPr>
          <w:rFonts w:ascii="Times New Roman"/>
          <w:b w:val="false"/>
          <w:i w:val="false"/>
          <w:color w:val="000000"/>
          <w:sz w:val="28"/>
        </w:rPr>
        <w:t>
      11) международное непатентованное наименование ЛС – название ЛС, рекомендованное Всемирной организацией здравоохранения (далее – МНН);</w:t>
      </w:r>
    </w:p>
    <w:bookmarkEnd w:id="18"/>
    <w:bookmarkStart w:name="z33" w:id="19"/>
    <w:p>
      <w:pPr>
        <w:spacing w:after="0"/>
        <w:ind w:left="0"/>
        <w:jc w:val="both"/>
      </w:pPr>
      <w:r>
        <w:rPr>
          <w:rFonts w:ascii="Times New Roman"/>
          <w:b w:val="false"/>
          <w:i w:val="false"/>
          <w:color w:val="000000"/>
          <w:sz w:val="28"/>
        </w:rPr>
        <w:t>
      12)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9"/>
    <w:bookmarkStart w:name="z34" w:id="20"/>
    <w:p>
      <w:pPr>
        <w:spacing w:after="0"/>
        <w:ind w:left="0"/>
        <w:jc w:val="both"/>
      </w:pPr>
      <w:r>
        <w:rPr>
          <w:rFonts w:ascii="Times New Roman"/>
          <w:b w:val="false"/>
          <w:i w:val="false"/>
          <w:color w:val="000000"/>
          <w:sz w:val="28"/>
        </w:rPr>
        <w:t>
      13)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20"/>
    <w:bookmarkStart w:name="z35" w:id="21"/>
    <w:p>
      <w:pPr>
        <w:spacing w:after="0"/>
        <w:ind w:left="0"/>
        <w:jc w:val="both"/>
      </w:pPr>
      <w:r>
        <w:rPr>
          <w:rFonts w:ascii="Times New Roman"/>
          <w:b w:val="false"/>
          <w:i w:val="false"/>
          <w:color w:val="000000"/>
          <w:sz w:val="28"/>
        </w:rPr>
        <w:t>
      14) зарегистрированная цена для оптовой и розничной реализации – расчетная базовая цена на торговое наименование ЛС для формирования предельной цены на торговое наименование ЛС для оптовой и розничной реализации ЛС, состоящая из предельной цены производителя;</w:t>
      </w:r>
    </w:p>
    <w:bookmarkEnd w:id="21"/>
    <w:bookmarkStart w:name="z36" w:id="22"/>
    <w:p>
      <w:pPr>
        <w:spacing w:after="0"/>
        <w:ind w:left="0"/>
        <w:jc w:val="both"/>
      </w:pPr>
      <w:r>
        <w:rPr>
          <w:rFonts w:ascii="Times New Roman"/>
          <w:b w:val="false"/>
          <w:i w:val="false"/>
          <w:color w:val="000000"/>
          <w:sz w:val="28"/>
        </w:rPr>
        <w:t>
      15) предельная цена на торговое наименование ЛС для розничной реализации – цена на торговое наименование ЛС, включенного в перечень ЛС, подлежащих ценовому регулированию, выше которой не может осуществляться его розничная реализация;</w:t>
      </w:r>
    </w:p>
    <w:bookmarkEnd w:id="22"/>
    <w:bookmarkStart w:name="z37" w:id="23"/>
    <w:p>
      <w:pPr>
        <w:spacing w:after="0"/>
        <w:ind w:left="0"/>
        <w:jc w:val="both"/>
      </w:pPr>
      <w:r>
        <w:rPr>
          <w:rFonts w:ascii="Times New Roman"/>
          <w:b w:val="false"/>
          <w:i w:val="false"/>
          <w:color w:val="000000"/>
          <w:sz w:val="28"/>
        </w:rPr>
        <w:t>
      16) оптовая наценка – надбавка к предельной цене производителя по регрессивной шкале, включающая прибыль и расходы, связанные с осуществлением оптовой реализации ЛС;</w:t>
      </w:r>
    </w:p>
    <w:bookmarkEnd w:id="23"/>
    <w:bookmarkStart w:name="z38" w:id="24"/>
    <w:p>
      <w:pPr>
        <w:spacing w:after="0"/>
        <w:ind w:left="0"/>
        <w:jc w:val="both"/>
      </w:pPr>
      <w:r>
        <w:rPr>
          <w:rFonts w:ascii="Times New Roman"/>
          <w:b w:val="false"/>
          <w:i w:val="false"/>
          <w:color w:val="000000"/>
          <w:sz w:val="28"/>
        </w:rPr>
        <w:t>
      17) регрессивная шкала оптовой наценки – шкала оптовой наценки в процентном выражении, зависимая от величины зарегистрированной цены;</w:t>
      </w:r>
    </w:p>
    <w:bookmarkEnd w:id="24"/>
    <w:bookmarkStart w:name="z39" w:id="25"/>
    <w:p>
      <w:pPr>
        <w:spacing w:after="0"/>
        <w:ind w:left="0"/>
        <w:jc w:val="both"/>
      </w:pPr>
      <w:r>
        <w:rPr>
          <w:rFonts w:ascii="Times New Roman"/>
          <w:b w:val="false"/>
          <w:i w:val="false"/>
          <w:color w:val="000000"/>
          <w:sz w:val="28"/>
        </w:rPr>
        <w:t>
      18)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25"/>
    <w:bookmarkStart w:name="z40" w:id="26"/>
    <w:p>
      <w:pPr>
        <w:spacing w:after="0"/>
        <w:ind w:left="0"/>
        <w:jc w:val="both"/>
      </w:pPr>
      <w:r>
        <w:rPr>
          <w:rFonts w:ascii="Times New Roman"/>
          <w:b w:val="false"/>
          <w:i w:val="false"/>
          <w:color w:val="000000"/>
          <w:sz w:val="28"/>
        </w:rPr>
        <w:t>
      19)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6"/>
    <w:bookmarkStart w:name="z41" w:id="27"/>
    <w:p>
      <w:pPr>
        <w:spacing w:after="0"/>
        <w:ind w:left="0"/>
        <w:jc w:val="both"/>
      </w:pPr>
      <w:r>
        <w:rPr>
          <w:rFonts w:ascii="Times New Roman"/>
          <w:b w:val="false"/>
          <w:i w:val="false"/>
          <w:color w:val="000000"/>
          <w:sz w:val="28"/>
        </w:rPr>
        <w:t>
      20) предельная цена производителя – цена на торговое наименование лекарственного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включенного в перечень лекарственных средств, подлежащих ценовому регулированию, в соответствии с Правилами регулирования цен на лекарственные средства, а также на изделия медицинского назначения, медицинские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27"/>
    <w:bookmarkStart w:name="z42" w:id="28"/>
    <w:p>
      <w:pPr>
        <w:spacing w:after="0"/>
        <w:ind w:left="0"/>
        <w:jc w:val="both"/>
      </w:pPr>
      <w:r>
        <w:rPr>
          <w:rFonts w:ascii="Times New Roman"/>
          <w:b w:val="false"/>
          <w:i w:val="false"/>
          <w:color w:val="000000"/>
          <w:sz w:val="28"/>
        </w:rPr>
        <w:t>
      21) заявитель – физическое или юридическое лицо, правомочное подавать заявления, документы и материалы для регистрации цены или перерегистрации зарегистрированной цены на ЛС,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 для ЛС ввезенных и (или) произведенных на территории Республики Казахстан до истечения срока действия регистрационного удостоверения, срок действия регистрационного удостоверения ЛС на момент подачи заявления истек;</w:t>
      </w:r>
    </w:p>
    <w:bookmarkEnd w:id="28"/>
    <w:bookmarkStart w:name="z43" w:id="29"/>
    <w:p>
      <w:pPr>
        <w:spacing w:after="0"/>
        <w:ind w:left="0"/>
        <w:jc w:val="both"/>
      </w:pPr>
      <w:r>
        <w:rPr>
          <w:rFonts w:ascii="Times New Roman"/>
          <w:b w:val="false"/>
          <w:i w:val="false"/>
          <w:color w:val="000000"/>
          <w:sz w:val="28"/>
        </w:rPr>
        <w:t>
      22) портал референтного ценообразования (далее – Портал) – автоматизированная цифровая система государственной экспертной организации;</w:t>
      </w:r>
    </w:p>
    <w:bookmarkEnd w:id="29"/>
    <w:bookmarkStart w:name="z44" w:id="30"/>
    <w:p>
      <w:pPr>
        <w:spacing w:after="0"/>
        <w:ind w:left="0"/>
        <w:jc w:val="both"/>
      </w:pPr>
      <w:r>
        <w:rPr>
          <w:rFonts w:ascii="Times New Roman"/>
          <w:b w:val="false"/>
          <w:i w:val="false"/>
          <w:color w:val="000000"/>
          <w:sz w:val="28"/>
        </w:rPr>
        <w:t>
      23) референтные страны – страны европейского и центрально-азиатского региона, макроэкономически сопоставимые с Республикой Казахстан,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Кыргызстан, Польша, Россия, Словения, Турция, Узбекистан);</w:t>
      </w:r>
    </w:p>
    <w:bookmarkEnd w:id="30"/>
    <w:bookmarkStart w:name="z45" w:id="31"/>
    <w:p>
      <w:pPr>
        <w:spacing w:after="0"/>
        <w:ind w:left="0"/>
        <w:jc w:val="both"/>
      </w:pPr>
      <w:r>
        <w:rPr>
          <w:rFonts w:ascii="Times New Roman"/>
          <w:b w:val="false"/>
          <w:i w:val="false"/>
          <w:color w:val="000000"/>
          <w:sz w:val="28"/>
        </w:rPr>
        <w:t>
      24) предельная цена на торговое наименование ЛС в рамках ГОБМП и (или) в системе ОСМС – цена на торговое наименование ЛС зарегистрированного в Республики Казахстан, выше которой не может быть произведен закуп в рамках ГОБМП и (или) в системе ОСМС;</w:t>
      </w:r>
    </w:p>
    <w:bookmarkEnd w:id="31"/>
    <w:bookmarkStart w:name="z46" w:id="32"/>
    <w:p>
      <w:pPr>
        <w:spacing w:after="0"/>
        <w:ind w:left="0"/>
        <w:jc w:val="both"/>
      </w:pPr>
      <w:r>
        <w:rPr>
          <w:rFonts w:ascii="Times New Roman"/>
          <w:b w:val="false"/>
          <w:i w:val="false"/>
          <w:color w:val="000000"/>
          <w:sz w:val="28"/>
        </w:rPr>
        <w:t>
      25) предельная цена на международное непатентованное наименование ЛС в рамках ГОБМП и (или) в системе ОСМС – цена на международное непатентованное наименование ЛС, зарегистрированного в Республики Казахстан, выше которой не может быть произведен закуп в рамках ГОБМП и (или) в системе ОСМС;</w:t>
      </w:r>
    </w:p>
    <w:bookmarkEnd w:id="32"/>
    <w:bookmarkStart w:name="z47" w:id="33"/>
    <w:p>
      <w:pPr>
        <w:spacing w:after="0"/>
        <w:ind w:left="0"/>
        <w:jc w:val="both"/>
      </w:pPr>
      <w:r>
        <w:rPr>
          <w:rFonts w:ascii="Times New Roman"/>
          <w:b w:val="false"/>
          <w:i w:val="false"/>
          <w:color w:val="000000"/>
          <w:sz w:val="28"/>
        </w:rPr>
        <w:t>
      26) зарегистрированная цена в рамках ГОБМП и (или) в системе ОСМС – расчетная базовая цена на торговое наименование ЛС для формирования предельной цены на торговое наименование в рамках ГОБМП и (или) в системе ОСМС, состоящая из цены производителя;</w:t>
      </w:r>
    </w:p>
    <w:bookmarkEnd w:id="33"/>
    <w:bookmarkStart w:name="z48" w:id="34"/>
    <w:p>
      <w:pPr>
        <w:spacing w:after="0"/>
        <w:ind w:left="0"/>
        <w:jc w:val="both"/>
      </w:pPr>
      <w:r>
        <w:rPr>
          <w:rFonts w:ascii="Times New Roman"/>
          <w:b w:val="false"/>
          <w:i w:val="false"/>
          <w:color w:val="000000"/>
          <w:sz w:val="28"/>
        </w:rPr>
        <w:t>
      27) регрессивная шкала наценки в рамках ГОБМП и (или) в системе ОСМС– шкала наценки в рамках ГОБМП и (или) в системе ОСМС в процентном выражении, зависимая от величины зарегистрированной цены ЛС в рамках ГОБМП и (или) в системе ОСМС;</w:t>
      </w:r>
    </w:p>
    <w:bookmarkEnd w:id="34"/>
    <w:bookmarkStart w:name="z49" w:id="35"/>
    <w:p>
      <w:pPr>
        <w:spacing w:after="0"/>
        <w:ind w:left="0"/>
        <w:jc w:val="both"/>
      </w:pPr>
      <w:r>
        <w:rPr>
          <w:rFonts w:ascii="Times New Roman"/>
          <w:b w:val="false"/>
          <w:i w:val="false"/>
          <w:color w:val="000000"/>
          <w:sz w:val="28"/>
        </w:rPr>
        <w:t>
      28) наценка в рамках ГОБМП и (или) в системе ОСМС – надбавка к зарегистрированной цене в рамках ГОБМП и (или) в системе ОСМС ЛС по регрессивной шкале, включающая прибыль и расходы, связанные с приобретением, хранением, транспортировкой, реализацией ЛС в рамках ГОБМП и (или) в системе ОСМС, используемая для формирования предельной цены на торговое наименование ЛС в рамках ГОБМП и (или) в системе ОСМС;</w:t>
      </w:r>
    </w:p>
    <w:bookmarkEnd w:id="35"/>
    <w:bookmarkStart w:name="z50" w:id="36"/>
    <w:p>
      <w:pPr>
        <w:spacing w:after="0"/>
        <w:ind w:left="0"/>
        <w:jc w:val="both"/>
      </w:pPr>
      <w:r>
        <w:rPr>
          <w:rFonts w:ascii="Times New Roman"/>
          <w:b w:val="false"/>
          <w:i w:val="false"/>
          <w:color w:val="000000"/>
          <w:sz w:val="28"/>
        </w:rPr>
        <w:t>
      29) фиксированная цена – цена ЛС, определенная по результатам закупа, по которой поставщик обязуется поставить ЛС единому дистрибьютору;</w:t>
      </w:r>
    </w:p>
    <w:bookmarkEnd w:id="36"/>
    <w:bookmarkStart w:name="z51" w:id="37"/>
    <w:p>
      <w:pPr>
        <w:spacing w:after="0"/>
        <w:ind w:left="0"/>
        <w:jc w:val="both"/>
      </w:pPr>
      <w:r>
        <w:rPr>
          <w:rFonts w:ascii="Times New Roman"/>
          <w:b w:val="false"/>
          <w:i w:val="false"/>
          <w:color w:val="000000"/>
          <w:sz w:val="28"/>
        </w:rPr>
        <w:t>
      30)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7"/>
    <w:bookmarkStart w:name="z52" w:id="38"/>
    <w:p>
      <w:pPr>
        <w:spacing w:after="0"/>
        <w:ind w:left="0"/>
        <w:jc w:val="both"/>
      </w:pPr>
      <w:r>
        <w:rPr>
          <w:rFonts w:ascii="Times New Roman"/>
          <w:b w:val="false"/>
          <w:i w:val="false"/>
          <w:color w:val="000000"/>
          <w:sz w:val="28"/>
        </w:rPr>
        <w:t>
      31) DDP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p>
    <w:bookmarkStart w:name="z54" w:id="39"/>
    <w:p>
      <w:pPr>
        <w:spacing w:after="0"/>
        <w:ind w:left="0"/>
        <w:jc w:val="both"/>
      </w:pPr>
      <w:r>
        <w:rPr>
          <w:rFonts w:ascii="Times New Roman"/>
          <w:b w:val="false"/>
          <w:i w:val="false"/>
          <w:color w:val="000000"/>
          <w:sz w:val="28"/>
        </w:rPr>
        <w:t>
      "12. Государственная экспертная организация формирует проект перечня ЛС, подлежащих ценовому регулированию для оптовой и розничной реализации (далее – проект перечня), на основе рецептурных зарегистрированных ЛС, а также имеющих регистрационное удостоверение в рамках Евразийского экономического союза по состоянию на 15 января и 15 июля текущего года.</w:t>
      </w:r>
    </w:p>
    <w:bookmarkEnd w:id="39"/>
    <w:bookmarkStart w:name="z55" w:id="40"/>
    <w:p>
      <w:pPr>
        <w:spacing w:after="0"/>
        <w:ind w:left="0"/>
        <w:jc w:val="both"/>
      </w:pPr>
      <w:r>
        <w:rPr>
          <w:rFonts w:ascii="Times New Roman"/>
          <w:b w:val="false"/>
          <w:i w:val="false"/>
          <w:color w:val="000000"/>
          <w:sz w:val="28"/>
        </w:rPr>
        <w:t>
      В проект перечня не включаются рецептурные лекарственные средства, предельная розничная цена реализации которых не превышает одного месячного расчетного показателя, установленного законом о республиканском бюджете на соответствующий финансовый год, на момент формирования проекта перечня.</w:t>
      </w:r>
    </w:p>
    <w:bookmarkEnd w:id="40"/>
    <w:bookmarkStart w:name="z56" w:id="41"/>
    <w:p>
      <w:pPr>
        <w:spacing w:after="0"/>
        <w:ind w:left="0"/>
        <w:jc w:val="both"/>
      </w:pPr>
      <w:r>
        <w:rPr>
          <w:rFonts w:ascii="Times New Roman"/>
          <w:b w:val="false"/>
          <w:i w:val="false"/>
          <w:color w:val="000000"/>
          <w:sz w:val="28"/>
        </w:rPr>
        <w:t xml:space="preserve">
      Государственная экспертная организация направляет проект перечня ЛС, подлежащих ценовому регулированию в уполномоченный орган для согласования с антимонопольным органом и утверждения, в срок не позднее, чем за 40 календарных дней до утверждения уполномоченным органом перечня ЛС, подлежащих ценовому регулированию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245 Кодекса по форме, согласно приложению 1 к настоящим Правилам.".</w:t>
      </w:r>
    </w:p>
    <w:bookmarkEnd w:id="41"/>
    <w:bookmarkStart w:name="z57" w:id="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 </w:t>
      </w:r>
    </w:p>
    <w:bookmarkEnd w:id="42"/>
    <w:bookmarkStart w:name="z58" w:id="43"/>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цифровой системы таможенных органов.".</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60" w:id="44"/>
    <w:p>
      <w:pPr>
        <w:spacing w:after="0"/>
        <w:ind w:left="0"/>
        <w:jc w:val="both"/>
      </w:pPr>
      <w:r>
        <w:rPr>
          <w:rFonts w:ascii="Times New Roman"/>
          <w:b w:val="false"/>
          <w:i w:val="false"/>
          <w:color w:val="000000"/>
          <w:sz w:val="28"/>
        </w:rPr>
        <w:t>
      "38. Предельная цена на торговое наименование ЛС для розничной реализации формируется не выше среднего значения отпускных цен в аптечных сетях, полученные из интегрированной цифровой системы уполномоченного органа государственных доходов по контрольно-кассовым чекам.".</w:t>
      </w:r>
    </w:p>
    <w:bookmarkEnd w:id="44"/>
    <w:bookmarkStart w:name="z61" w:id="4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45"/>
    <w:bookmarkStart w:name="z62" w:id="46"/>
    <w:p>
      <w:pPr>
        <w:spacing w:after="0"/>
        <w:ind w:left="0"/>
        <w:jc w:val="both"/>
      </w:pPr>
      <w:r>
        <w:rPr>
          <w:rFonts w:ascii="Times New Roman"/>
          <w:b w:val="false"/>
          <w:i w:val="false"/>
          <w:color w:val="000000"/>
          <w:sz w:val="28"/>
        </w:rPr>
        <w:t>
      "При изменении порядка референтного ценообразования и регистрации цены, перерасчет предельных цен на торговые наименования ЛС для оптовой и розничной реализации осуществляется государственной экспертной организацией по инициативе уполномоченного органа, без подачи заявления от заявителя, с использованием имеющихся данных и цифровых систем.".</w:t>
      </w:r>
    </w:p>
    <w:bookmarkEnd w:id="46"/>
    <w:bookmarkStart w:name="z63" w:id="4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47"/>
    <w:bookmarkStart w:name="z64" w:id="48"/>
    <w:p>
      <w:pPr>
        <w:spacing w:after="0"/>
        <w:ind w:left="0"/>
        <w:jc w:val="both"/>
      </w:pPr>
      <w:r>
        <w:rPr>
          <w:rFonts w:ascii="Times New Roman"/>
          <w:b w:val="false"/>
          <w:i w:val="false"/>
          <w:color w:val="000000"/>
          <w:sz w:val="28"/>
        </w:rPr>
        <w:t>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
    <w:bookmarkEnd w:id="48"/>
    <w:bookmarkStart w:name="z65" w:id="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49"/>
    <w:bookmarkStart w:name="z66" w:id="50"/>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цифровой системы таможенных органов.".</w:t>
      </w:r>
    </w:p>
    <w:bookmarkEnd w:id="50"/>
    <w:bookmarkStart w:name="z67" w:id="5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w:t>
      </w:r>
    </w:p>
    <w:bookmarkEnd w:id="51"/>
    <w:bookmarkStart w:name="z68" w:id="52"/>
    <w:p>
      <w:pPr>
        <w:spacing w:after="0"/>
        <w:ind w:left="0"/>
        <w:jc w:val="both"/>
      </w:pPr>
      <w:r>
        <w:rPr>
          <w:rFonts w:ascii="Times New Roman"/>
          <w:b w:val="false"/>
          <w:i w:val="false"/>
          <w:color w:val="000000"/>
          <w:sz w:val="28"/>
        </w:rPr>
        <w:t>
      "При изменении порядка референтного ценообразования и регистрации цены, перерасчет предельных цен на торговые наименования ЛС в рамках ГОБМП и (или) ОСМС осуществляется государственной экспертной организацией по инициативе уполномоченного органа, без подачи заявления от заявителя, с использованием имеющихся данных и цифровых систем.";</w:t>
      </w:r>
    </w:p>
    <w:bookmarkEnd w:id="52"/>
    <w:bookmarkStart w:name="z69"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регулирования, формирования предельных цен и наценок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утвержденных указанным приказом: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1" w:id="54"/>
    <w:p>
      <w:pPr>
        <w:spacing w:after="0"/>
        <w:ind w:left="0"/>
        <w:jc w:val="both"/>
      </w:pPr>
      <w:r>
        <w:rPr>
          <w:rFonts w:ascii="Times New Roman"/>
          <w:b w:val="false"/>
          <w:i w:val="false"/>
          <w:color w:val="000000"/>
          <w:sz w:val="28"/>
        </w:rPr>
        <w:t xml:space="preserve">
      "1. Настоящие Правила регулирования, формирования предельных цен и наценок на медицинские изделия (далее – МИ)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94)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регулирования цен на медицинские изделия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3" w:id="5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55"/>
    <w:bookmarkStart w:name="z74" w:id="56"/>
    <w:p>
      <w:pPr>
        <w:spacing w:after="0"/>
        <w:ind w:left="0"/>
        <w:jc w:val="both"/>
      </w:pPr>
      <w:r>
        <w:rPr>
          <w:rFonts w:ascii="Times New Roman"/>
          <w:b w:val="false"/>
          <w:i w:val="false"/>
          <w:color w:val="000000"/>
          <w:sz w:val="28"/>
        </w:rPr>
        <w:t>
      1) анализ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система анализа ценообразования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основанная на определении цены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разрезе комплектующих от производителя, расходов связанных с доставкой и наценки при реализации;</w:t>
      </w:r>
    </w:p>
    <w:bookmarkEnd w:id="56"/>
    <w:bookmarkStart w:name="z75" w:id="57"/>
    <w:p>
      <w:pPr>
        <w:spacing w:after="0"/>
        <w:ind w:left="0"/>
        <w:jc w:val="both"/>
      </w:pPr>
      <w:r>
        <w:rPr>
          <w:rFonts w:ascii="Times New Roman"/>
          <w:b w:val="false"/>
          <w:i w:val="false"/>
          <w:color w:val="000000"/>
          <w:sz w:val="28"/>
        </w:rPr>
        <w:t>
      2) единица измерения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одна модель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57"/>
    <w:bookmarkStart w:name="z76" w:id="58"/>
    <w:p>
      <w:pPr>
        <w:spacing w:after="0"/>
        <w:ind w:left="0"/>
        <w:jc w:val="both"/>
      </w:pPr>
      <w:r>
        <w:rPr>
          <w:rFonts w:ascii="Times New Roman"/>
          <w:b w:val="false"/>
          <w:i w:val="false"/>
          <w:color w:val="000000"/>
          <w:sz w:val="28"/>
        </w:rPr>
        <w:t>
      3) модель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самостоятельная единица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идентифицированная производителем медицинского изделия определенным буквенным, цифровым или буквенно-цифровым обозначением;</w:t>
      </w:r>
    </w:p>
    <w:bookmarkEnd w:id="58"/>
    <w:bookmarkStart w:name="z77" w:id="59"/>
    <w:p>
      <w:pPr>
        <w:spacing w:after="0"/>
        <w:ind w:left="0"/>
        <w:jc w:val="both"/>
      </w:pPr>
      <w:r>
        <w:rPr>
          <w:rFonts w:ascii="Times New Roman"/>
          <w:b w:val="false"/>
          <w:i w:val="false"/>
          <w:color w:val="000000"/>
          <w:sz w:val="28"/>
        </w:rPr>
        <w:t>
      4) государственная экспертная организация в сфере обращения лекарственных средств (далее – ЛС) и МИ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ЛС и МИ;</w:t>
      </w:r>
    </w:p>
    <w:bookmarkEnd w:id="59"/>
    <w:bookmarkStart w:name="z78" w:id="60"/>
    <w:p>
      <w:pPr>
        <w:spacing w:after="0"/>
        <w:ind w:left="0"/>
        <w:jc w:val="both"/>
      </w:pPr>
      <w:r>
        <w:rPr>
          <w:rFonts w:ascii="Times New Roman"/>
          <w:b w:val="false"/>
          <w:i w:val="false"/>
          <w:color w:val="000000"/>
          <w:sz w:val="28"/>
        </w:rPr>
        <w:t>
      5)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ЛС и МИ, качества оказания медицинских услуг (помощи);</w:t>
      </w:r>
    </w:p>
    <w:bookmarkEnd w:id="60"/>
    <w:bookmarkStart w:name="z79" w:id="61"/>
    <w:p>
      <w:pPr>
        <w:spacing w:after="0"/>
        <w:ind w:left="0"/>
        <w:jc w:val="both"/>
      </w:pPr>
      <w:r>
        <w:rPr>
          <w:rFonts w:ascii="Times New Roman"/>
          <w:b w:val="false"/>
          <w:i w:val="false"/>
          <w:color w:val="000000"/>
          <w:sz w:val="28"/>
        </w:rPr>
        <w:t>
      6) Государственный реестр ЛС и МИ – цифровой ресурс, содержащий сведения о зарегистрированных и разрешенных к медицинскому применению в Республике Казахстан ЛС и МИ;</w:t>
      </w:r>
    </w:p>
    <w:bookmarkEnd w:id="61"/>
    <w:bookmarkStart w:name="z80" w:id="62"/>
    <w:p>
      <w:pPr>
        <w:spacing w:after="0"/>
        <w:ind w:left="0"/>
        <w:jc w:val="both"/>
      </w:pPr>
      <w:r>
        <w:rPr>
          <w:rFonts w:ascii="Times New Roman"/>
          <w:b w:val="false"/>
          <w:i w:val="false"/>
          <w:color w:val="000000"/>
          <w:sz w:val="28"/>
        </w:rPr>
        <w:t>
      7)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62"/>
    <w:bookmarkStart w:name="z81" w:id="63"/>
    <w:p>
      <w:pPr>
        <w:spacing w:after="0"/>
        <w:ind w:left="0"/>
        <w:jc w:val="both"/>
      </w:pPr>
      <w:r>
        <w:rPr>
          <w:rFonts w:ascii="Times New Roman"/>
          <w:b w:val="false"/>
          <w:i w:val="false"/>
          <w:color w:val="000000"/>
          <w:sz w:val="28"/>
        </w:rPr>
        <w:t>
      8) принадлежность – изделие, не являющееся МИ, предназначенное производителем для совместного применения с одним или несколькими МИ для использования в соответствии с их назначением;</w:t>
      </w:r>
    </w:p>
    <w:bookmarkEnd w:id="63"/>
    <w:bookmarkStart w:name="z82" w:id="64"/>
    <w:p>
      <w:pPr>
        <w:spacing w:after="0"/>
        <w:ind w:left="0"/>
        <w:jc w:val="both"/>
      </w:pPr>
      <w:r>
        <w:rPr>
          <w:rFonts w:ascii="Times New Roman"/>
          <w:b w:val="false"/>
          <w:i w:val="false"/>
          <w:color w:val="000000"/>
          <w:sz w:val="28"/>
        </w:rPr>
        <w:t>
      9) коммерческое предложение – документ, содержащий информацию о МИ, комплектующих и расходных материалах, количестве, наименовании, модели, производителя, с указанием стоимости в разрезе комплектации, а также информацию об условиях поставки, проведении гарантийного и постгарантийного сервисного обслуживания (указанием сроков) и возможностью обучения специалистов организации здравоохранения;</w:t>
      </w:r>
    </w:p>
    <w:bookmarkEnd w:id="64"/>
    <w:bookmarkStart w:name="z83" w:id="65"/>
    <w:p>
      <w:pPr>
        <w:spacing w:after="0"/>
        <w:ind w:left="0"/>
        <w:jc w:val="both"/>
      </w:pPr>
      <w:r>
        <w:rPr>
          <w:rFonts w:ascii="Times New Roman"/>
          <w:b w:val="false"/>
          <w:i w:val="false"/>
          <w:color w:val="000000"/>
          <w:sz w:val="28"/>
        </w:rPr>
        <w:t>
      10)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65"/>
    <w:bookmarkStart w:name="z84" w:id="66"/>
    <w:p>
      <w:pPr>
        <w:spacing w:after="0"/>
        <w:ind w:left="0"/>
        <w:jc w:val="both"/>
      </w:pPr>
      <w:r>
        <w:rPr>
          <w:rFonts w:ascii="Times New Roman"/>
          <w:b w:val="false"/>
          <w:i w:val="false"/>
          <w:color w:val="000000"/>
          <w:sz w:val="28"/>
        </w:rPr>
        <w:t>
      11)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66"/>
    <w:bookmarkStart w:name="z85" w:id="67"/>
    <w:p>
      <w:pPr>
        <w:spacing w:after="0"/>
        <w:ind w:left="0"/>
        <w:jc w:val="both"/>
      </w:pPr>
      <w:r>
        <w:rPr>
          <w:rFonts w:ascii="Times New Roman"/>
          <w:b w:val="false"/>
          <w:i w:val="false"/>
          <w:color w:val="000000"/>
          <w:sz w:val="28"/>
        </w:rPr>
        <w:t>
      12) МИ – изделия медицинского назначения (далее – ИМН) и медицинская техника;</w:t>
      </w:r>
    </w:p>
    <w:bookmarkEnd w:id="67"/>
    <w:bookmarkStart w:name="z86" w:id="68"/>
    <w:p>
      <w:pPr>
        <w:spacing w:after="0"/>
        <w:ind w:left="0"/>
        <w:jc w:val="both"/>
      </w:pPr>
      <w:r>
        <w:rPr>
          <w:rFonts w:ascii="Times New Roman"/>
          <w:b w:val="false"/>
          <w:i w:val="false"/>
          <w:color w:val="000000"/>
          <w:sz w:val="28"/>
        </w:rPr>
        <w:t>
      13) набор (комплект) МИ – совокупность МИ, имеющих единое назначение и маркировку, с указанием перечня указанных МИ;</w:t>
      </w:r>
    </w:p>
    <w:bookmarkEnd w:id="68"/>
    <w:bookmarkStart w:name="z87" w:id="69"/>
    <w:p>
      <w:pPr>
        <w:spacing w:after="0"/>
        <w:ind w:left="0"/>
        <w:jc w:val="both"/>
      </w:pPr>
      <w:r>
        <w:rPr>
          <w:rFonts w:ascii="Times New Roman"/>
          <w:b w:val="false"/>
          <w:i w:val="false"/>
          <w:color w:val="000000"/>
          <w:sz w:val="28"/>
        </w:rPr>
        <w:t>
      14) запасная часть МИ – часть МИ, предназначенная для замены, находившейся в эксплуатации такой же части в целях поддержания или восстановления исправности или работоспособности МИ;</w:t>
      </w:r>
    </w:p>
    <w:bookmarkEnd w:id="69"/>
    <w:bookmarkStart w:name="z88" w:id="70"/>
    <w:p>
      <w:pPr>
        <w:spacing w:after="0"/>
        <w:ind w:left="0"/>
        <w:jc w:val="both"/>
      </w:pPr>
      <w:r>
        <w:rPr>
          <w:rFonts w:ascii="Times New Roman"/>
          <w:b w:val="false"/>
          <w:i w:val="false"/>
          <w:color w:val="000000"/>
          <w:sz w:val="28"/>
        </w:rPr>
        <w:t>
      15) составная часть МИ – основной блок (часть) МИ, принадлежность, комплектующее к МИ и расходный материал к МИ;</w:t>
      </w:r>
    </w:p>
    <w:bookmarkEnd w:id="70"/>
    <w:bookmarkStart w:name="z89" w:id="71"/>
    <w:p>
      <w:pPr>
        <w:spacing w:after="0"/>
        <w:ind w:left="0"/>
        <w:jc w:val="both"/>
      </w:pPr>
      <w:r>
        <w:rPr>
          <w:rFonts w:ascii="Times New Roman"/>
          <w:b w:val="false"/>
          <w:i w:val="false"/>
          <w:color w:val="000000"/>
          <w:sz w:val="28"/>
        </w:rPr>
        <w:t>
      16) основной блок (часть) МИ – изделие, кроме расходных материалов к МИ, выпускаемое в обращение от имени производителя МИ, механически не связанное с другими основными блоками (частями) МИ при поставке МИ и обеспечивающее функционирование МИ в соответствии с назначением. К основным блокам (частям) МИ относится специальное программное обеспечение, являющееся МИ, а также могут относиться другие МИ, зарегистрированные в установленном порядке и допущенные к обращению в рамках Евразийского экономического союза, предназначенные в соответствии с документацией производителя регистрируемого МИ для обеспечения его функционирования в соответствии с назначением;</w:t>
      </w:r>
    </w:p>
    <w:bookmarkEnd w:id="71"/>
    <w:bookmarkStart w:name="z90" w:id="72"/>
    <w:p>
      <w:pPr>
        <w:spacing w:after="0"/>
        <w:ind w:left="0"/>
        <w:jc w:val="both"/>
      </w:pPr>
      <w:r>
        <w:rPr>
          <w:rFonts w:ascii="Times New Roman"/>
          <w:b w:val="false"/>
          <w:i w:val="false"/>
          <w:color w:val="000000"/>
          <w:sz w:val="28"/>
        </w:rPr>
        <w:t>
      17) расходный материал к МИ – изделия и материалы, расходуемые при использовании МИ, обеспечивающие проведение манипуляций в соответствии с функциональным назначением МИ;</w:t>
      </w:r>
    </w:p>
    <w:bookmarkEnd w:id="72"/>
    <w:bookmarkStart w:name="z91" w:id="73"/>
    <w:p>
      <w:pPr>
        <w:spacing w:after="0"/>
        <w:ind w:left="0"/>
        <w:jc w:val="both"/>
      </w:pPr>
      <w:r>
        <w:rPr>
          <w:rFonts w:ascii="Times New Roman"/>
          <w:b w:val="false"/>
          <w:i w:val="false"/>
          <w:color w:val="000000"/>
          <w:sz w:val="28"/>
        </w:rPr>
        <w:t>
      18)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73"/>
    <w:bookmarkStart w:name="z92" w:id="74"/>
    <w:p>
      <w:pPr>
        <w:spacing w:after="0"/>
        <w:ind w:left="0"/>
        <w:jc w:val="both"/>
      </w:pPr>
      <w:r>
        <w:rPr>
          <w:rFonts w:ascii="Times New Roman"/>
          <w:b w:val="false"/>
          <w:i w:val="false"/>
          <w:color w:val="000000"/>
          <w:sz w:val="28"/>
        </w:rPr>
        <w:t>
      19)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74"/>
    <w:bookmarkStart w:name="z93" w:id="75"/>
    <w:p>
      <w:pPr>
        <w:spacing w:after="0"/>
        <w:ind w:left="0"/>
        <w:jc w:val="both"/>
      </w:pPr>
      <w:r>
        <w:rPr>
          <w:rFonts w:ascii="Times New Roman"/>
          <w:b w:val="false"/>
          <w:i w:val="false"/>
          <w:color w:val="000000"/>
          <w:sz w:val="28"/>
        </w:rPr>
        <w:t>
      20) ИМН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75"/>
    <w:bookmarkStart w:name="z94" w:id="76"/>
    <w:p>
      <w:pPr>
        <w:spacing w:after="0"/>
        <w:ind w:left="0"/>
        <w:jc w:val="both"/>
      </w:pPr>
      <w:r>
        <w:rPr>
          <w:rFonts w:ascii="Times New Roman"/>
          <w:b w:val="false"/>
          <w:i w:val="false"/>
          <w:color w:val="000000"/>
          <w:sz w:val="28"/>
        </w:rPr>
        <w:t>
      21) референтное ценообразование на ИМН – система анализа цен на торговое наименование и техническую характеристику ИМН, основанная на представленных заявителем ценах производителя, в соответствии с условиями DDP ИНКОТЕРМС 2020, одного и того же производителя одного и того же МИ с учетом комплектности, вида и типоразмерного ряда, а также фактической цены поставок в Республику Казахстан;</w:t>
      </w:r>
    </w:p>
    <w:bookmarkEnd w:id="76"/>
    <w:bookmarkStart w:name="z95" w:id="77"/>
    <w:p>
      <w:pPr>
        <w:spacing w:after="0"/>
        <w:ind w:left="0"/>
        <w:jc w:val="both"/>
      </w:pPr>
      <w:r>
        <w:rPr>
          <w:rFonts w:ascii="Times New Roman"/>
          <w:b w:val="false"/>
          <w:i w:val="false"/>
          <w:color w:val="000000"/>
          <w:sz w:val="28"/>
        </w:rPr>
        <w:t>
      22) единица измерения ИМН – одна единица ИМН с учетом фасовки, комплектности или первичной упаковки;</w:t>
      </w:r>
    </w:p>
    <w:bookmarkEnd w:id="77"/>
    <w:bookmarkStart w:name="z96" w:id="78"/>
    <w:p>
      <w:pPr>
        <w:spacing w:after="0"/>
        <w:ind w:left="0"/>
        <w:jc w:val="both"/>
      </w:pPr>
      <w:r>
        <w:rPr>
          <w:rFonts w:ascii="Times New Roman"/>
          <w:b w:val="false"/>
          <w:i w:val="false"/>
          <w:color w:val="000000"/>
          <w:sz w:val="28"/>
        </w:rPr>
        <w:t>
      23)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МИ представлять его интересы по вопросам обращения МИ на территории Республики Казахстан в соответствии с действующим законодательством Республики Казахстан в области здравоохранения;</w:t>
      </w:r>
    </w:p>
    <w:bookmarkEnd w:id="78"/>
    <w:bookmarkStart w:name="z97" w:id="79"/>
    <w:p>
      <w:pPr>
        <w:spacing w:after="0"/>
        <w:ind w:left="0"/>
        <w:jc w:val="both"/>
      </w:pPr>
      <w:r>
        <w:rPr>
          <w:rFonts w:ascii="Times New Roman"/>
          <w:b w:val="false"/>
          <w:i w:val="false"/>
          <w:color w:val="000000"/>
          <w:sz w:val="28"/>
        </w:rPr>
        <w:t>
      24) заявитель – физическое или юридическое лицо, правомочное подавать заявления, документы и материалы для формирования цены на МИ,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w:t>
      </w:r>
    </w:p>
    <w:bookmarkEnd w:id="79"/>
    <w:bookmarkStart w:name="z98" w:id="80"/>
    <w:p>
      <w:pPr>
        <w:spacing w:after="0"/>
        <w:ind w:left="0"/>
        <w:jc w:val="both"/>
      </w:pPr>
      <w:r>
        <w:rPr>
          <w:rFonts w:ascii="Times New Roman"/>
          <w:b w:val="false"/>
          <w:i w:val="false"/>
          <w:color w:val="000000"/>
          <w:sz w:val="28"/>
        </w:rPr>
        <w:t>
      25) портал референтного ценообразования (далее – Портал) – автоматизированная цифровая система государственной экспертной организации;</w:t>
      </w:r>
    </w:p>
    <w:bookmarkEnd w:id="80"/>
    <w:bookmarkStart w:name="z99" w:id="81"/>
    <w:p>
      <w:pPr>
        <w:spacing w:after="0"/>
        <w:ind w:left="0"/>
        <w:jc w:val="both"/>
      </w:pPr>
      <w:r>
        <w:rPr>
          <w:rFonts w:ascii="Times New Roman"/>
          <w:b w:val="false"/>
          <w:i w:val="false"/>
          <w:color w:val="000000"/>
          <w:sz w:val="28"/>
        </w:rPr>
        <w:t>
      26) предельная цена на торговое наименование и техническую характеристику ИМН в рамках ГОБМП и (или) в системе ОСМС – цена на торговое наименование и техническую характеристику ИМН, зарегистрированного в Республике Казахстан, выше которой не может быть произведен закуп в рамках ГОБМП и (или) в системе ОСМС;</w:t>
      </w:r>
    </w:p>
    <w:bookmarkEnd w:id="81"/>
    <w:bookmarkStart w:name="z100" w:id="82"/>
    <w:p>
      <w:pPr>
        <w:spacing w:after="0"/>
        <w:ind w:left="0"/>
        <w:jc w:val="both"/>
      </w:pPr>
      <w:r>
        <w:rPr>
          <w:rFonts w:ascii="Times New Roman"/>
          <w:b w:val="false"/>
          <w:i w:val="false"/>
          <w:color w:val="000000"/>
          <w:sz w:val="28"/>
        </w:rPr>
        <w:t>
      27) наценка в рамках ГОБМП и (или) в системе ОСМС – надбавка к формированной цене ИМН по регрессивной шкале наценок, используемая для расчета предельной цены на торговое наименование и техническую характеристику ИМН в рамках ГОБМП и (или) в системе ОСМС;</w:t>
      </w:r>
    </w:p>
    <w:bookmarkEnd w:id="82"/>
    <w:bookmarkStart w:name="z101" w:id="83"/>
    <w:p>
      <w:pPr>
        <w:spacing w:after="0"/>
        <w:ind w:left="0"/>
        <w:jc w:val="both"/>
      </w:pPr>
      <w:r>
        <w:rPr>
          <w:rFonts w:ascii="Times New Roman"/>
          <w:b w:val="false"/>
          <w:i w:val="false"/>
          <w:color w:val="000000"/>
          <w:sz w:val="28"/>
        </w:rPr>
        <w:t>
      28) регрессивная шкала наценки в рамках ГОБМП и (или) в системе ОСМС – шкала наценки в рамках ГОБМП и (или) в системе ОСМС в процентном выражении, зависимая от величины зарегистрированной цены ИМН в рамках ГОБМП и (или) в системе ОСМС;</w:t>
      </w:r>
    </w:p>
    <w:bookmarkEnd w:id="83"/>
    <w:bookmarkStart w:name="z102" w:id="84"/>
    <w:p>
      <w:pPr>
        <w:spacing w:after="0"/>
        <w:ind w:left="0"/>
        <w:jc w:val="both"/>
      </w:pPr>
      <w:r>
        <w:rPr>
          <w:rFonts w:ascii="Times New Roman"/>
          <w:b w:val="false"/>
          <w:i w:val="false"/>
          <w:color w:val="000000"/>
          <w:sz w:val="28"/>
        </w:rPr>
        <w:t>
      29) регистрационное удостоверение –документ, удостоверяющий государственную регистрацию;</w:t>
      </w:r>
    </w:p>
    <w:bookmarkEnd w:id="84"/>
    <w:bookmarkStart w:name="z103" w:id="85"/>
    <w:p>
      <w:pPr>
        <w:spacing w:after="0"/>
        <w:ind w:left="0"/>
        <w:jc w:val="both"/>
      </w:pPr>
      <w:r>
        <w:rPr>
          <w:rFonts w:ascii="Times New Roman"/>
          <w:b w:val="false"/>
          <w:i w:val="false"/>
          <w:color w:val="000000"/>
          <w:sz w:val="28"/>
        </w:rPr>
        <w:t>
      30)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85"/>
    <w:bookmarkStart w:name="z104" w:id="86"/>
    <w:p>
      <w:pPr>
        <w:spacing w:after="0"/>
        <w:ind w:left="0"/>
        <w:jc w:val="both"/>
      </w:pPr>
      <w:r>
        <w:rPr>
          <w:rFonts w:ascii="Times New Roman"/>
          <w:b w:val="false"/>
          <w:i w:val="false"/>
          <w:color w:val="000000"/>
          <w:sz w:val="28"/>
        </w:rPr>
        <w:t>
      31) CFR – поставка товара осуществляется продавцом сразу на борт судна. При этом он оплачивает все расходы и фрахт для доставки груза к месту назначения, а также производит таможенную очистку груза;</w:t>
      </w:r>
    </w:p>
    <w:bookmarkEnd w:id="86"/>
    <w:bookmarkStart w:name="z105" w:id="87"/>
    <w:p>
      <w:pPr>
        <w:spacing w:after="0"/>
        <w:ind w:left="0"/>
        <w:jc w:val="both"/>
      </w:pPr>
      <w:r>
        <w:rPr>
          <w:rFonts w:ascii="Times New Roman"/>
          <w:b w:val="false"/>
          <w:i w:val="false"/>
          <w:color w:val="000000"/>
          <w:sz w:val="28"/>
        </w:rPr>
        <w:t>
      32) CPT – подразумевает, что продавец полностью оплачивает доставку товара до согласованной точки, включая экспортные пошлины;</w:t>
      </w:r>
    </w:p>
    <w:bookmarkEnd w:id="87"/>
    <w:bookmarkStart w:name="z106" w:id="88"/>
    <w:p>
      <w:pPr>
        <w:spacing w:after="0"/>
        <w:ind w:left="0"/>
        <w:jc w:val="both"/>
      </w:pPr>
      <w:r>
        <w:rPr>
          <w:rFonts w:ascii="Times New Roman"/>
          <w:b w:val="false"/>
          <w:i w:val="false"/>
          <w:color w:val="000000"/>
          <w:sz w:val="28"/>
        </w:rPr>
        <w:t>
      33) CIP – продавец выполняет доставку и оплату расходов, связанную с перевозкой товара до названного пункта назначения;</w:t>
      </w:r>
    </w:p>
    <w:bookmarkEnd w:id="88"/>
    <w:bookmarkStart w:name="z107" w:id="89"/>
    <w:p>
      <w:pPr>
        <w:spacing w:after="0"/>
        <w:ind w:left="0"/>
        <w:jc w:val="both"/>
      </w:pPr>
      <w:r>
        <w:rPr>
          <w:rFonts w:ascii="Times New Roman"/>
          <w:b w:val="false"/>
          <w:i w:val="false"/>
          <w:color w:val="000000"/>
          <w:sz w:val="28"/>
        </w:rPr>
        <w:t>
      34) CIF – продавец выполнил поставку, когда товар погружен на транспортное средство в порту отгрузки, а продажная цена включает в себя стоимость товара, фрахт или транспортные расходы, а также стоимость страховки при перевозке;</w:t>
      </w:r>
    </w:p>
    <w:bookmarkEnd w:id="89"/>
    <w:bookmarkStart w:name="z108" w:id="90"/>
    <w:p>
      <w:pPr>
        <w:spacing w:after="0"/>
        <w:ind w:left="0"/>
        <w:jc w:val="both"/>
      </w:pPr>
      <w:r>
        <w:rPr>
          <w:rFonts w:ascii="Times New Roman"/>
          <w:b w:val="false"/>
          <w:i w:val="false"/>
          <w:color w:val="000000"/>
          <w:sz w:val="28"/>
        </w:rPr>
        <w:t>
      35) DAT – используется в случае, если продающая и покупающая сторона вместе несут расходы по перевозку груза. В частности, первый оплачивает доставку товара до терминала прибытия – причала, склада, контейнерного двора или авиакарго-терминала, страховые сборы и экспортные платежи. Второй – берет на себя расходы, связанные с растаможкой груза и его дальнейшей транспортировкой до места назначения;</w:t>
      </w:r>
    </w:p>
    <w:bookmarkEnd w:id="90"/>
    <w:bookmarkStart w:name="z109" w:id="91"/>
    <w:p>
      <w:pPr>
        <w:spacing w:after="0"/>
        <w:ind w:left="0"/>
        <w:jc w:val="both"/>
      </w:pPr>
      <w:r>
        <w:rPr>
          <w:rFonts w:ascii="Times New Roman"/>
          <w:b w:val="false"/>
          <w:i w:val="false"/>
          <w:color w:val="000000"/>
          <w:sz w:val="28"/>
        </w:rPr>
        <w:t>
      36) DAP – продавец оплачивает доставку продукции до согласованного места. При этом он должен выполнить таможенные формальности при экспорте груза, но не обязан оплачивать ввозные пошлины и оформлять его на таможне;</w:t>
      </w:r>
    </w:p>
    <w:bookmarkEnd w:id="91"/>
    <w:bookmarkStart w:name="z110" w:id="92"/>
    <w:p>
      <w:pPr>
        <w:spacing w:after="0"/>
        <w:ind w:left="0"/>
        <w:jc w:val="both"/>
      </w:pPr>
      <w:r>
        <w:rPr>
          <w:rFonts w:ascii="Times New Roman"/>
          <w:b w:val="false"/>
          <w:i w:val="false"/>
          <w:color w:val="000000"/>
          <w:sz w:val="28"/>
        </w:rPr>
        <w:t>
      37) DDP – покупатель получает товар в согласованном месте, прошедшим импортную очистку, свободным от других каких-либо налогов и пошлин, готовым к разгрузке и дальнейшей продаже;</w:t>
      </w:r>
    </w:p>
    <w:bookmarkEnd w:id="92"/>
    <w:bookmarkStart w:name="z111" w:id="93"/>
    <w:p>
      <w:pPr>
        <w:spacing w:after="0"/>
        <w:ind w:left="0"/>
        <w:jc w:val="both"/>
      </w:pPr>
      <w:r>
        <w:rPr>
          <w:rFonts w:ascii="Times New Roman"/>
          <w:b w:val="false"/>
          <w:i w:val="false"/>
          <w:color w:val="000000"/>
          <w:sz w:val="28"/>
        </w:rPr>
        <w:t>
      38) EXW – поставка груза на условиях самовывоза. Продавец имеет минимальные обязанности. Покупатель, приобретая товар, полностью берет организацию его доставки на себя – принимает товар, упаковывает, страхует, транспортирует на собственном или наемном транспорте до нужного места, оплачивает экспортные и импортные пошлины;</w:t>
      </w:r>
    </w:p>
    <w:bookmarkEnd w:id="93"/>
    <w:bookmarkStart w:name="z112" w:id="94"/>
    <w:p>
      <w:pPr>
        <w:spacing w:after="0"/>
        <w:ind w:left="0"/>
        <w:jc w:val="both"/>
      </w:pPr>
      <w:r>
        <w:rPr>
          <w:rFonts w:ascii="Times New Roman"/>
          <w:b w:val="false"/>
          <w:i w:val="false"/>
          <w:color w:val="000000"/>
          <w:sz w:val="28"/>
        </w:rPr>
        <w:t>
      39) FAS – продавец доставляет товар на причал порта погрузки и размещает его вдоль судна обозначенного покупателем. На этом его обязательства заканчиваются. Погрузку и перевалку в промежуточном порту оплачивает покупатель;</w:t>
      </w:r>
    </w:p>
    <w:bookmarkEnd w:id="94"/>
    <w:bookmarkStart w:name="z113" w:id="95"/>
    <w:p>
      <w:pPr>
        <w:spacing w:after="0"/>
        <w:ind w:left="0"/>
        <w:jc w:val="both"/>
      </w:pPr>
      <w:r>
        <w:rPr>
          <w:rFonts w:ascii="Times New Roman"/>
          <w:b w:val="false"/>
          <w:i w:val="false"/>
          <w:color w:val="000000"/>
          <w:sz w:val="28"/>
        </w:rPr>
        <w:t>
      40) FCA – продавец доставляет товар, очищенный от экспортных пошлин, в указанный в договоре терминал отправки и передает покупателю/перевозчику покупателя.".</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15" w:id="96"/>
    <w:p>
      <w:pPr>
        <w:spacing w:after="0"/>
        <w:ind w:left="0"/>
        <w:jc w:val="both"/>
      </w:pPr>
      <w:r>
        <w:rPr>
          <w:rFonts w:ascii="Times New Roman"/>
          <w:b w:val="false"/>
          <w:i w:val="false"/>
          <w:color w:val="000000"/>
          <w:sz w:val="28"/>
        </w:rPr>
        <w:t>
      "18. Государственная услуга оказывается государственной экспертной организацией (услугодателем) в течение 15 рабочих дней со дня обращения заявителя (услугополучателя) путем проведения референтного ценообразования на торговое наименование и техническую характеристику ИМН и соответствия предлагаемой к регистрации цены или перерегистрации зарегистрированной цены в рамках ГОБМП и (или) в системе ОСМС, а также сверку предоставленных данных заявителем на их соответствие в цифровой системе таможенных органов, и требованиям настоящих Правил.".</w:t>
      </w:r>
    </w:p>
    <w:bookmarkEnd w:id="96"/>
    <w:bookmarkStart w:name="z116" w:id="9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97"/>
    <w:bookmarkStart w:name="z117" w:id="98"/>
    <w:p>
      <w:pPr>
        <w:spacing w:after="0"/>
        <w:ind w:left="0"/>
        <w:jc w:val="both"/>
      </w:pPr>
      <w:r>
        <w:rPr>
          <w:rFonts w:ascii="Times New Roman"/>
          <w:b w:val="false"/>
          <w:i w:val="false"/>
          <w:color w:val="000000"/>
          <w:sz w:val="28"/>
        </w:rPr>
        <w:t>
      "При изменении порядка референтного ценообразования и регистрации цены, перерасчет предельных цен на торговые наименования МИ в рамках ГОБМП и (или) ОСМС осуществляется государственной экспертной организацией по инициативе уполномоченного органа, без подачи заявления от заявителя, с использованием имеющихся данных и цифровых систем.".</w:t>
      </w:r>
    </w:p>
    <w:bookmarkEnd w:id="98"/>
    <w:bookmarkStart w:name="z118" w:id="99"/>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99"/>
    <w:bookmarkStart w:name="z119" w:id="10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0"/>
    <w:bookmarkStart w:name="z120" w:id="101"/>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здравоохранения Республики Казахстан после его официального опубликования;</w:t>
      </w:r>
    </w:p>
    <w:bookmarkEnd w:id="101"/>
    <w:bookmarkStart w:name="z121" w:id="10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02"/>
    <w:bookmarkStart w:name="z122" w:id="10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03"/>
    <w:bookmarkStart w:name="z123" w:id="10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восемнадцатого, тридцать второго,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шестьдесят восьмого, восемьдесят седьмого, сто третьего, сто четвертого, сто пятого и сто шестого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bookmarkStart w:name="z125" w:id="105"/>
      <w:r>
        <w:rPr>
          <w:rFonts w:ascii="Times New Roman"/>
          <w:b w:val="false"/>
          <w:i w:val="false"/>
          <w:color w:val="000000"/>
          <w:sz w:val="28"/>
        </w:rPr>
        <w:t>
      "СОГЛАСОВАН"</w:t>
      </w:r>
    </w:p>
    <w:bookmarkEnd w:id="105"/>
    <w:p>
      <w:pPr>
        <w:spacing w:after="0"/>
        <w:ind w:left="0"/>
        <w:jc w:val="both"/>
      </w:pPr>
      <w:r>
        <w:rPr>
          <w:rFonts w:ascii="Times New Roman"/>
          <w:b w:val="false"/>
          <w:i w:val="false"/>
          <w:color w:val="000000"/>
          <w:sz w:val="28"/>
        </w:rPr>
        <w:t xml:space="preserve">Агентство по защите и </w:t>
      </w:r>
    </w:p>
    <w:p>
      <w:pPr>
        <w:spacing w:after="0"/>
        <w:ind w:left="0"/>
        <w:jc w:val="both"/>
      </w:pPr>
      <w:r>
        <w:rPr>
          <w:rFonts w:ascii="Times New Roman"/>
          <w:b w:val="false"/>
          <w:i w:val="false"/>
          <w:color w:val="000000"/>
          <w:sz w:val="28"/>
        </w:rPr>
        <w:t xml:space="preserve">развитию конкуренции </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