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b339" w14:textId="eb5b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применения и распространения машиночитаемых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15 апреля 2026 года № 202/НҚ. Зарегистрирован в Министерстве юстиции Республики Казахстан 16 апреля 2026 года № 38444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искусственном интеллекте",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применения и распространения машиночитаемых форм.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 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202/НҚ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применения и распространения машиночитаемых форм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применения и распространения машиночитаемых форм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искусственном интеллекте" и определяют порядок разработки, применения и распространения машиночитаемых форм.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прозрачности и подотчетности в сфере искусственного интеллекта применяются машиночитаемые формы, позволяющие автоматизированным способом считывать и обрабатывать информацию.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искусственный интеллект – функциональная способность к имитации когнитивных функций, характерных для человека, обеспечивающая результаты, сопоставимые с результатами интеллектуальной деятельности человека или превосходящие их;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искусственного интеллекта – объект информатизации, функционирующий на основе одной или нескольких моделей искусственного интеллекта;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машиночитаемая форма – форма предоставления информации, позволяющая ее автоматизированное считывание и обработку системами искусственного интеллекта либо иным программным обеспечением.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машиночитаемых форм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машиночитаемых форм осуществляется с учетом настоящих Правил и включает следующие этапы: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предметной области и целей применения;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структуры и содержание машиночитаемой формы;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схемы данных;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формы и ввод в эксплуатацию.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машиночитаемых форм в обязательном порядке обеспечивается: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одному и/или нескольким форматам структурирования данных: XML, JSON, RDF, CSV, YAML, JSON-LD;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утвержденной схемы данных;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кодировка (UTF-8);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машинная проверяемость обязательных и дополнительных полей;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машиночитаемых метаданных, состав и структура которых определяются с учетом назначения машиночитаемой формы, характера обрабатываемых данных и требований национальных и (или) международных стандартов.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Изменения в машиночитаемые формы вносятся путем их актуализации с обеспечением совместимости с предыдущими редакциями данных. При существенном изменении структуры машиночитаемых форм допускается параллельное использование нескольких версий.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Актуализация машиночитаемых форм осуществляется в сроки, определенные метаданными соответствующей формы.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машиночитаемых форм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машиночитаемых форм осуществляется при автоматизированном сборе и обработке данных с использованием систем искусственного интеллекта либо иного программного обеспечения.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Машиночитаемые формы применяются в соответствии с областью применения, для которой они предназначены, а также условиями использования, в том числе использование произведений для обучения моделей искусственного интеллекта допускается только при отсутствии запрета со стороны автора или правообладателя, выраженного в машиночитаемой форме.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Применение машиночитаемых форм обеспечивает: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корректность автоматизированной обработки;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воспроизводимость результатов;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последующего контроля и аудита;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от несанкционированного изменения данных;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и корректное взаимодействие с существующими системами искусственного интеллекта.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Применение машиночитаемых форм включает в себя следующие этапы: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и аутентификацию источника данных в машиночитаемом формате;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целостности и подлинности машиночитаемой формы;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преобразование (парсинг) данных в структуру, пригодную для обработки системой искусственного интеллекта или программным обеспечением;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проверку данных на соответствие установленным схемам и метаданным.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применении конкретных типов машиночитаемых форм принимается собственником и (или) владельцем системы искусственного интеллекта, исходя из технических требований систем искусственного интеллекта и необходимости обеспечения автоматизированного взаимодействия.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распространения машиночитаемых форм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Распространение машиночитаемых форм осуществляется в форме, обеспечивающей их автоматизированное использование и обработку.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распространении машиночитаемых форм обеспечивается: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данных в соответствии с законодательством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целостности данных (включая электронную подпись при необходимости);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несанкционированного изменения машиночитаемых форм и связанных с ними метаданных.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распространении машиночитаемых форм не допускается раскрытие информации с ограниченным доступом, если иное не предусмотрено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