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f4d" w14:textId="2835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эмитентов цифровых финансовых активов, базовым активом которых выступают деньги (стейблкоин)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апреля 2026 года № 31. Зарегистрировано в Министерстве юстиции Республики Казахстан 13 апреля 2026 года № 38410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эмитентов цифровых финансовых активов, базовым активом которых выступают деньги (стейблкоин) (далее – Требования).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мая 2026 года и подлежит официальному опубликованию.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Требований, установив, что в период приостановления данный подпункт действует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получение доступа ко всем помещениям эмитента,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эмитента;";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установив, что в период приостановления данный пункт действует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Эмитент для автоматизации процессов по вопросам внутреннего контроля в целях противодействия ОД/ФТ/ФРОМУ использует автоматизированные информационные системы, соответствующие требованиям внутреннего контроля организации.".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31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эмитентов цифровых финансовых активов, базовым активом которых выступают деньги (стейблкоин)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эмитентов цифровых финансовых активов, базовым активом которых выступают деньги (стейблкоин), (далее – Требования) разработаны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распространяются на эмитентов цифровых финансовых активов, базовым активом которых выступают деньги (стейблкоин) (далее – эмитенты).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Законами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цифровых активах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 также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эмитентами самостоятельно;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ОД/ФТ/ФРОМУ – совокупность принимаемых эмитентами мер по выявлению, оценке, мониторингу рисков ОД/ФТ/ФРОМУ, а также их минимизации (в отношении услуг, клиентов, а также совершаемых клиентами операций);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риски ОД/ФТ/ФРОМУ) – риски преднамеренного или непреднамеренного вовлечения эмитентов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пороговая операция – операция клиента с деньгами и (или) иным имуществом, подлежащая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ОД/ФТ/ФРОМУ осуществляется эмитентами в целях: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требований Закона о ПОД/ФТ/ФРОМУ;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эмитентов на уровне, достаточном для управления рисками ОД/ФТ/ФРОМУ с учетом особенностей цифровых финансовых активов и применяемых технологий и сопряженными рисками (операционным, репутационным, правовым);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эмитентов, их должностных лиц и работников в процессы ОД/ФТ/ФРОМУ.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ОД/ФТ/ФРОМУ эмитентами разрабатываются и принимаются правила внутреннего контроля в целях противодействия ОД/ФТ/ФРОМУ (далее – правила внутреннего контроля).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эмитентами самостоятельно в соответствии с Требованиями и являются внутренними документами эмитентов либо совокупностью таких документов.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противодействия ОД/ФТ/ФРОМУ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порядке, установленном внутренними документами эмитента, у эмитента назначается лицо, ответственное за реализацию и соблюдение правил внутреннего контроля (далее – ответственный работник), которое имеет высшее образование,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цифровых активах в Республике Казахстан".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противодействия ОД/ФТ/ФРОМУ включает, но не ограничивается: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противодействия ОД/ФТ/ФРОМУ;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(далее – Перечень),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(далее – Перечень ФРОМУ);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(его представителе) и бенефициарном собственнике из Перечня и Перечня ФРОМУ;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эмитентов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, а также правил внутреннего контроля, допущенных работниками эмитентов;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противодействию ОД/ФТ/ФРОМУ, установленных юридическими лицами, которые имеют контроль над эмитентами (при наличии).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в соответствии с программой организации внутреннего контроля в целях противодействия ОД/ФТ/ФРОМУ включают, но не ограничиваются: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эмитентом правил внутреннего контроля и (или) изменений (дополнений) к ним, а также мониторинг за их соблюдением;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руководства эмитентов о выявленных клиентах, состоящих в Перечне, Перечне ФРОМУ и принятых мерах по применению целевых финансовых санкций;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эмитентов;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руководством эмитентов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договорами с клиентами, и в порядке, предусмотренном внутренними документами эмитента.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наделяется следующими полномочиями, включая, но не ограничиваясь: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эмитента, цифровым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эмитента;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Эмитент обеспечивает проведение независимой оценки эффективности системы внутреннего контроля в целях противодействия ОД/ФТ/ФРОМУ с учетом риск-ориентированного подхода.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оценка может проводиться лицом либо организацией, не участвующими в реализации правил внутреннего контроля.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Эмитент для автоматизации процессов по вопросам внутреннего контроля в целях противодействия ОД/ФТ/ФРОМУ использует цифровые системы, соответствующие требованиям внутреннего контроля организации.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ОД/ФТ/ФРОМУ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организации управления рисками ОД/ФТ/ФРОМУ эмитент разрабатывает программу управления рисками ОД/ФТ/ФРОМУ.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реализации программы управления рисками ОД/ФТ/ФРОМУ эмитент учитывает опубликованную информацию из отчета рисков ОД/ФТ/ФРОМУ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рисками ОД/ФТ/ФРОМУ включает, но не ограничивается: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ОД/ФТ/ФРОМУ;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ОД/ФТ/ФРОМУ с учетом основных категорий рисков (по типу клиента, страновому риску и риску услуг/продуктов) в отношении: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эмитента рискам ОД/ФТ/ФРОМУ;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присвоения, сроки и основания для пересмотра уровней рисков клиентов.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определения и оценки рисков ОД/ФТ/ФРОМУ, возникающих до разработки (запуска) новых продуктов и новой деловой практики, включая новые механизмы передачи, а также использовании новых или развивающихся технологий как для новых, так и для уже существующих продуктов.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оценке рисков ОД/ФТ/ФРОМУ эмитент учитывает особенности выпуска, размещения, обращения и погашения цифровых финансовых активов, базовым активом которых выступают деньги, включая риски, связанные с их конвертацией в денежные средства, скоростью и объемом совершаемых операций, а также использованием в трансграничных операциях.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ОД/ФТ/ФРОМУ, включают, но не ограничиваются: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клиенты, осуществляющие операции с использованием кошельков цифровых активов, не обслуживаемых провайдерами услуг цифровых активов, при отсутствии достаточной информации о целях и характере операций;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страховые (перестраховочные) организации, страховые брокеры, осуществляющие деятельность по отрасли "страхование жизни";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в организационно-правовой форме фондов, религиозных объединений;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расположенные (зарегистрированные) в иностранных государствах, указанных в пункте 17 Требований, а также расположенные в Республике Казахстан филиалы и представительства таких лиц;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определенные эмитентом дополнительные типы (при наличии) клиентов, чей статус и (или) чья деятельность повышают риск ОД/ФТ/ФРОМУ.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понижают риск ОД/ФТ/ФРОМУ, включают, но не ограничиваются: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уполномоченный орган по регулированию, контролю и надзору финансового рынка и финансовых организаций, а также юридические лица, контроль над которыми осуществляется государственными органами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 – резиденты Республики Казахстан, профессиональные участники рынка ценных бумаг – резиденты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Эмитент осуществляет оценку странового риска, связанного с ведением деятельности в иностранных государствах (территориях), указанных в настоящем пункте, предоставлением услуг клиентам из таких иностранных государств, осуществлением операций с участием таких иностранных государств.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 (территориями), операции с которыми повышают риск ОД/ФТ/ФРОМУ, являются: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государства (территории), характеризующиеся как оффшорные зоны согласно перечню оффшорных зон, установленных Национальным Банком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эмитентом в качестве представляющих высокий риск ОД/ФТ/ФРОМУ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оценке степени подверженности услуг эмитента рискам ОД/ФТ/ФРОМУ в соответствии с факторами рисков, указанными в пунктах 12, 13 и 14 Требований, эмитентом учитываются дополнительные сведения, влияющие на итоговую степень риска, включая, но не ограничиваясь: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эмитентом в уполномоченный орган сообщений о подозрительных операциях клиентов;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эмитентом в уполномоченный орган сообщений о пороговых операциях клиентов.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эмитентом принимаются меры по классификации клиентов с учетом категорий и факторов риска, указанных в пунктах 12, 13 и 14 Требований.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 (их представителей) и бенефициарных собственников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 эмитенты разрабатывают программу идентификации клиентов (их представителей) и бенефициарных собственников.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эмитентами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Сведения, полученные в рамках идентификации клиентов, вносятся эмитентами в досье клиента, которое хранится эмитентами на протяжении всего периода деловых отношений с клиентом и не менее 5 (пяти) лет со дня их прекращения.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Программа идентификации клиента, его представителя и бенефициарного собственника включает, но не ограничивается: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эмитентами решения об отказе в установлении деловых отношений и (или) в проведении операции, а также прекращении деловых отношений;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эмитентами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клиентов, их представителей и (или) бенефициарных собственников, отнесенных к публичным должностным лицам, их супругам и близким родственникам, эмитент применяет усиленные меры надлежащей проверки, а также усиленный мониторинг операций и обновление сведений о таких клиентах с повышенной периодичностью.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и Перечне ФРОМУ.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обеспечения прозрачности переводов цифровых активов, включая порядок получения, передачи и хранения сведений об отправителе и получателе цифровых активов при осуществлении операций с цифровыми активами, а также порядок действий работников эмитента при отсутствии, неполноте либо противоречивости таких сведений.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указанной процедуры эмитент обеспечивает получение и фиксирование сведений об отправителе и получателе цифровых активов, включая, но не ограничиваясь, следующими: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операции, включая вид цифрового актива, сумму, дату и время совершения операции, используемый блокчейн (распределенный реестр) и иные сведения, предусмотренные внутренними документами эмитента.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отправителе цифровых активов: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либо наименование юридического лица;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позволяющие идентифицировать клиента;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кошелька цифровых активов либо иной уникальный идентификатор, используемый для осуществления операции;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– сведения о провайдере услуг цифровых активов, обслуживающем отправителя;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получателе цифровых активов: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либо наименование юридического лица;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кошелька цифровых активов либо иной уникальный идентификатор получателя;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– сведения о провайдере услуг цифровых активов, обслуживающем получателя.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применения мер надлежащей проверки при переводе цифровых активов на адреса кошельков цифровых активов, не обслуживаемых провайдерами услуг цифровых активов, либо при получении цифровых активов с таких адресов, включая риск-ориентированные меры по установлению и проверке сведений о владельце (бенефициарном собственнике) такого кошелька цифрового актива, проведение усиленной идентификации и усиленного мониторинга операций в случаях, предусмотренных внутренними документами эмитента.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Мероприятия по выявлению бенефициарного собственника клиента, установлению структуры его собственности и управления проводятся на основании учредительных документов и реестра держателей акций (реестра участников) такого клиента, Реестра бенефициарных собственников юридических лиц (далее – Реестр БС), размещенного на интернет-ресурсе уполномоченного органа по финансовому мониторингу либо сведений, полученных из других источников.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 о выявленных бенефициарных собственниках вносятся в Реестр БС.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клиента, а также по выявлению и направлению в уполномоченный орган сообщений о пороговых и подозрительных операциях, эмитент разрабатывает программу мониторинга и изучения операций клиентов.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рамках программы мониторинга и изучения операций клиентов эмитентом проводятся мероприятия по обновлению и (или) получению дополнительных сведений о клиентах (их представителях) и бенефициарных собственниках, включая сведения об источнике финансирования совершаемых клиентами операций, а также по изучению операций клиентов и выявлению пороговых, необычных и подозрительных операций.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мониторинга и изучения операций клиентов включает, но не ограничивается: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эмитентами самостоятельно;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порядок, основания и срок принятия ответственным работником решения о квалификации операции клиента;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представления в уполномоченный орган сообщений о пороговых и подозрительных операциях.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эмитента, выявивший указанную операцию, направляет сообщение о такой операции ответственному работнику.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эмитента по вопросам противодействия ОД/ФТ/ФРОМУ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Целью программы подготовки и обучения работников эмитента по вопросам противодействия ОД/ФТ/ФРОМУ (далее – программа обучения) является получение работниками эмитента знаний и формирование навыков, необходимых для исполнения ими требований законодательства Республики Казахстан о противодействии ОД/ФТ/ФРОМУ, а также правил внутреннего контроля и иных внутренних документов эмитента в сфере противодействия ОД/ФТ/ФРОМУ.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Программа обучения разрабатывается в соответствии с требованиями к субъектам финансового мониторинга по подготовке и обучению в сфере противодействия ОД/ФТ/ФРОМУ,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