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e52f" w14:textId="381e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участников особого режима регулирования Национального Банка Республики Казахстан, осуществляющих деятельность в сфере цифровых активов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10 апреля 2026 года № 32. Зарегистрировано в Министерстве юстиции Республики Казахстан 13 апреля 2026 года № 38406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абзацем третьим </w:t>
      </w:r>
      <w:r>
        <w:rPr>
          <w:rFonts w:ascii="Times New Roman"/>
          <w:b w:val="false"/>
          <w:i w:val="false"/>
          <w:color w:val="000000"/>
          <w:sz w:val="28"/>
        </w:rPr>
        <w:t>пункта 3-2</w:t>
      </w:r>
      <w:r>
        <w:rPr>
          <w:rFonts w:ascii="Times New Roman"/>
          <w:b w:val="false"/>
          <w:i w:val="false"/>
          <w:color w:val="000000"/>
          <w:sz w:val="28"/>
        </w:rPr>
        <w:t xml:space="preserve"> статьи 11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1. Утвердить прилагаемые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участников особого режима регулирования Национального Банка Республики Казахстан, осуществляющих деятельность в сфере цифровых активов (далее – Требования).</w:t>
      </w:r>
    </w:p>
    <w:bookmarkEnd w:id="1"/>
    <w:bookmarkStart w:name="z7" w:id="2"/>
    <w:p>
      <w:pPr>
        <w:spacing w:after="0"/>
        <w:ind w:left="0"/>
        <w:jc w:val="both"/>
      </w:pPr>
      <w:r>
        <w:rPr>
          <w:rFonts w:ascii="Times New Roman"/>
          <w:b w:val="false"/>
          <w:i w:val="false"/>
          <w:color w:val="000000"/>
          <w:sz w:val="28"/>
        </w:rPr>
        <w:t>
      2.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с 1 мая 2026 года и подлежит официальному опубликованию.</w:t>
      </w:r>
    </w:p>
    <w:bookmarkEnd w:id="7"/>
    <w:bookmarkStart w:name="z13" w:id="8"/>
    <w:p>
      <w:pPr>
        <w:spacing w:after="0"/>
        <w:ind w:left="0"/>
        <w:jc w:val="both"/>
      </w:pPr>
      <w:r>
        <w:rPr>
          <w:rFonts w:ascii="Times New Roman"/>
          <w:b w:val="false"/>
          <w:i w:val="false"/>
          <w:color w:val="000000"/>
          <w:sz w:val="28"/>
        </w:rPr>
        <w:t>
      Приостановить до 12 июля 2026 года действие:</w:t>
      </w:r>
    </w:p>
    <w:bookmarkEnd w:id="8"/>
    <w:bookmarkStart w:name="z14"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1)</w:t>
      </w:r>
      <w:r>
        <w:rPr>
          <w:rFonts w:ascii="Times New Roman"/>
          <w:b w:val="false"/>
          <w:i w:val="false"/>
          <w:color w:val="000000"/>
          <w:sz w:val="28"/>
        </w:rPr>
        <w:t xml:space="preserve"> пункта 8 Требований, установив, что в период приостановления данный подпункт действует в следующей редакции:</w:t>
      </w:r>
    </w:p>
    <w:bookmarkEnd w:id="9"/>
    <w:bookmarkStart w:name="z15" w:id="10"/>
    <w:p>
      <w:pPr>
        <w:spacing w:after="0"/>
        <w:ind w:left="0"/>
        <w:jc w:val="both"/>
      </w:pPr>
      <w:r>
        <w:rPr>
          <w:rFonts w:ascii="Times New Roman"/>
          <w:b w:val="false"/>
          <w:i w:val="false"/>
          <w:color w:val="000000"/>
          <w:sz w:val="28"/>
        </w:rPr>
        <w:t>
      "1) получение доступа ко всем помещениям участника,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участника;";</w:t>
      </w:r>
    </w:p>
    <w:bookmarkEnd w:id="10"/>
    <w:bookmarkStart w:name="z16" w:id="11"/>
    <w:p>
      <w:pPr>
        <w:spacing w:after="0"/>
        <w:ind w:left="0"/>
        <w:jc w:val="both"/>
      </w:pPr>
      <w:r>
        <w:rPr>
          <w:rFonts w:ascii="Times New Roman"/>
          <w:b w:val="false"/>
          <w:i w:val="false"/>
          <w:color w:val="000000"/>
          <w:sz w:val="28"/>
        </w:rPr>
        <w:t xml:space="preserve">
      2) абзаца первого </w:t>
      </w:r>
      <w:r>
        <w:rPr>
          <w:rFonts w:ascii="Times New Roman"/>
          <w:b w:val="false"/>
          <w:i w:val="false"/>
          <w:color w:val="000000"/>
          <w:sz w:val="28"/>
        </w:rPr>
        <w:t>пункта 10</w:t>
      </w:r>
      <w:r>
        <w:rPr>
          <w:rFonts w:ascii="Times New Roman"/>
          <w:b w:val="false"/>
          <w:i w:val="false"/>
          <w:color w:val="000000"/>
          <w:sz w:val="28"/>
        </w:rPr>
        <w:t xml:space="preserve"> Требований, установив, что в период приостановления данный абзац действует в следующей редакции:</w:t>
      </w:r>
    </w:p>
    <w:bookmarkEnd w:id="11"/>
    <w:bookmarkStart w:name="z17" w:id="12"/>
    <w:p>
      <w:pPr>
        <w:spacing w:after="0"/>
        <w:ind w:left="0"/>
        <w:jc w:val="both"/>
      </w:pPr>
      <w:r>
        <w:rPr>
          <w:rFonts w:ascii="Times New Roman"/>
          <w:b w:val="false"/>
          <w:i w:val="false"/>
          <w:color w:val="000000"/>
          <w:sz w:val="28"/>
        </w:rPr>
        <w:t>
      "10. Участник для автоматизации процессов по вопросам внутреннего контроля в целях противодействия ОД/ФТ/ФРОМУ использует автоматизированные информационные системы, соответствующие следующим требованиям:";</w:t>
      </w:r>
    </w:p>
    <w:bookmarkEnd w:id="12"/>
    <w:bookmarkStart w:name="z18"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4)</w:t>
      </w:r>
      <w:r>
        <w:rPr>
          <w:rFonts w:ascii="Times New Roman"/>
          <w:b w:val="false"/>
          <w:i w:val="false"/>
          <w:color w:val="000000"/>
          <w:sz w:val="28"/>
        </w:rPr>
        <w:t xml:space="preserve"> пункта 15 Требований, установив, что в период приостановления данный подпункт действует в следующей редакции:</w:t>
      </w:r>
    </w:p>
    <w:bookmarkEnd w:id="13"/>
    <w:bookmarkStart w:name="z19" w:id="14"/>
    <w:p>
      <w:pPr>
        <w:spacing w:after="0"/>
        <w:ind w:left="0"/>
        <w:jc w:val="both"/>
      </w:pPr>
      <w:r>
        <w:rPr>
          <w:rFonts w:ascii="Times New Roman"/>
          <w:b w:val="false"/>
          <w:i w:val="false"/>
          <w:color w:val="000000"/>
          <w:sz w:val="28"/>
        </w:rPr>
        <w:t>
      "4) услуги с кошельками цифровых активов клиентов, имеющими признаки использования клиентом сервисов по обезличиванию, усложняющие отслеживание транзакции (миксеров), в том числе в сочетании с иными факторами повышенного риска;".</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Банка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21"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по финансовому мониторингу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10 апреля 2026 года № 32</w:t>
            </w:r>
          </w:p>
        </w:tc>
      </w:tr>
    </w:tbl>
    <w:bookmarkStart w:name="z23" w:id="16"/>
    <w:p>
      <w:pPr>
        <w:spacing w:after="0"/>
        <w:ind w:left="0"/>
        <w:jc w:val="left"/>
      </w:pPr>
      <w:r>
        <w:rPr>
          <w:rFonts w:ascii="Times New Roman"/>
          <w:b/>
          <w:i w:val="false"/>
          <w:color w:val="000000"/>
        </w:rPr>
        <w:t xml:space="preserve"> Требования</w:t>
      </w:r>
      <w:r>
        <w:br/>
      </w:r>
      <w:r>
        <w:rPr>
          <w:rFonts w:ascii="Times New Roman"/>
          <w:b/>
          <w:i w:val="false"/>
          <w:color w:val="000000"/>
        </w:rPr>
        <w:t>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участников особого режима регулирования Национального Банка Республики Казахстан, осуществляющих деятельность в сфере цифровых активов</w:t>
      </w:r>
    </w:p>
    <w:bookmarkEnd w:id="16"/>
    <w:bookmarkStart w:name="z24" w:id="17"/>
    <w:p>
      <w:pPr>
        <w:spacing w:after="0"/>
        <w:ind w:left="0"/>
        <w:jc w:val="left"/>
      </w:pPr>
      <w:r>
        <w:rPr>
          <w:rFonts w:ascii="Times New Roman"/>
          <w:b/>
          <w:i w:val="false"/>
          <w:color w:val="000000"/>
        </w:rPr>
        <w:t xml:space="preserve"> Глава 1. Общие положения</w:t>
      </w:r>
    </w:p>
    <w:bookmarkEnd w:id="17"/>
    <w:bookmarkStart w:name="z25" w:id="18"/>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участников особого режима регулирования Национального Банка Республики Казахстан, осуществляющих деятельность в сфере цифровых активов, (далее – Требования) разработаны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пункта 1 статьи 3 и абзацем третьим </w:t>
      </w:r>
      <w:r>
        <w:rPr>
          <w:rFonts w:ascii="Times New Roman"/>
          <w:b w:val="false"/>
          <w:i w:val="false"/>
          <w:color w:val="000000"/>
          <w:sz w:val="28"/>
        </w:rPr>
        <w:t>пункта 3-2</w:t>
      </w:r>
      <w:r>
        <w:rPr>
          <w:rFonts w:ascii="Times New Roman"/>
          <w:b w:val="false"/>
          <w:i w:val="false"/>
          <w:color w:val="000000"/>
          <w:sz w:val="28"/>
        </w:rPr>
        <w:t xml:space="preserve"> статьи 11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18"/>
    <w:bookmarkStart w:name="z26" w:id="19"/>
    <w:p>
      <w:pPr>
        <w:spacing w:after="0"/>
        <w:ind w:left="0"/>
        <w:jc w:val="both"/>
      </w:pPr>
      <w:r>
        <w:rPr>
          <w:rFonts w:ascii="Times New Roman"/>
          <w:b w:val="false"/>
          <w:i w:val="false"/>
          <w:color w:val="000000"/>
          <w:sz w:val="28"/>
        </w:rPr>
        <w:t>
      Требования распространяются на участников особого режима регулирования Национального Банка Республики Казахстан, осуществляющих деятельность в сфере цифровых активов.</w:t>
      </w:r>
    </w:p>
    <w:bookmarkEnd w:id="19"/>
    <w:bookmarkStart w:name="z27" w:id="20"/>
    <w:p>
      <w:pPr>
        <w:spacing w:after="0"/>
        <w:ind w:left="0"/>
        <w:jc w:val="both"/>
      </w:pPr>
      <w:r>
        <w:rPr>
          <w:rFonts w:ascii="Times New Roman"/>
          <w:b w:val="false"/>
          <w:i w:val="false"/>
          <w:color w:val="000000"/>
          <w:sz w:val="28"/>
        </w:rPr>
        <w:t>
      2. В Требованиях используются понятия, предусмотренные Законами Республики Казахстан о ПОД/ФТ/ФРОМУ и "О цифровых активах в Республике Казахстан", а также следующие понятия:</w:t>
      </w:r>
    </w:p>
    <w:bookmarkEnd w:id="20"/>
    <w:bookmarkStart w:name="z28" w:id="21"/>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 с учетом признаков определения подозрительной операции,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участниками самостоятельно;</w:t>
      </w:r>
    </w:p>
    <w:bookmarkEnd w:id="21"/>
    <w:bookmarkStart w:name="z29" w:id="22"/>
    <w:p>
      <w:pPr>
        <w:spacing w:after="0"/>
        <w:ind w:left="0"/>
        <w:jc w:val="both"/>
      </w:pPr>
      <w:r>
        <w:rPr>
          <w:rFonts w:ascii="Times New Roman"/>
          <w:b w:val="false"/>
          <w:i w:val="false"/>
          <w:color w:val="000000"/>
          <w:sz w:val="28"/>
        </w:rPr>
        <w:t>
      2)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риски ОД/ФТ/ФРОМУ) – риски преднамеренного или непреднамеренного вовлечения участников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w:t>
      </w:r>
    </w:p>
    <w:bookmarkEnd w:id="22"/>
    <w:bookmarkStart w:name="z30" w:id="23"/>
    <w:p>
      <w:pPr>
        <w:spacing w:after="0"/>
        <w:ind w:left="0"/>
        <w:jc w:val="both"/>
      </w:pPr>
      <w:r>
        <w:rPr>
          <w:rFonts w:ascii="Times New Roman"/>
          <w:b w:val="false"/>
          <w:i w:val="false"/>
          <w:color w:val="000000"/>
          <w:sz w:val="28"/>
        </w:rPr>
        <w:t>
      3) управление рисками ОД/ФТ/ФРОМУ – совокупность принимаемых участниками мер по выявлению, оценке, мониторингу рисков ОД/ФТ/ФРОМУ, а также их минимизации (в отношении услуг, клиентов, а также совершаемых клиентами операций);</w:t>
      </w:r>
    </w:p>
    <w:bookmarkEnd w:id="23"/>
    <w:bookmarkStart w:name="z31" w:id="24"/>
    <w:p>
      <w:pPr>
        <w:spacing w:after="0"/>
        <w:ind w:left="0"/>
        <w:jc w:val="both"/>
      </w:pPr>
      <w:r>
        <w:rPr>
          <w:rFonts w:ascii="Times New Roman"/>
          <w:b w:val="false"/>
          <w:i w:val="false"/>
          <w:color w:val="000000"/>
          <w:sz w:val="28"/>
        </w:rPr>
        <w:t>
      4) участники особого режима регулирования Национального Банка Республики Казахстан, осуществляющие деятельность в сфере цифровых активов (далее – участник) – юридические лица, осуществляющие деятельность в сфере цифровых активов, заключившие с Национальным Банком Республики Казахстан договор об осуществлении деятельности в рамках особого режима регулирования;</w:t>
      </w:r>
    </w:p>
    <w:bookmarkEnd w:id="24"/>
    <w:bookmarkStart w:name="z32" w:id="25"/>
    <w:p>
      <w:pPr>
        <w:spacing w:after="0"/>
        <w:ind w:left="0"/>
        <w:jc w:val="both"/>
      </w:pPr>
      <w:r>
        <w:rPr>
          <w:rFonts w:ascii="Times New Roman"/>
          <w:b w:val="false"/>
          <w:i w:val="false"/>
          <w:color w:val="000000"/>
          <w:sz w:val="28"/>
        </w:rPr>
        <w:t xml:space="preserve">
      5) пороговая операция – операция клиента с деньгами и (или) иным имуществом, подлежащая финансовому мониторингу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ПОД/ФТ/ФРОМУ.</w:t>
      </w:r>
    </w:p>
    <w:bookmarkEnd w:id="25"/>
    <w:bookmarkStart w:name="z33" w:id="26"/>
    <w:p>
      <w:pPr>
        <w:spacing w:after="0"/>
        <w:ind w:left="0"/>
        <w:jc w:val="both"/>
      </w:pPr>
      <w:r>
        <w:rPr>
          <w:rFonts w:ascii="Times New Roman"/>
          <w:b w:val="false"/>
          <w:i w:val="false"/>
          <w:color w:val="000000"/>
          <w:sz w:val="28"/>
        </w:rPr>
        <w:t>
      3. Внутренний контроль в целях противодействия ОД/ФТ/ФРОМУ осуществляется участниками в целях:</w:t>
      </w:r>
    </w:p>
    <w:bookmarkEnd w:id="26"/>
    <w:bookmarkStart w:name="z34" w:id="27"/>
    <w:p>
      <w:pPr>
        <w:spacing w:after="0"/>
        <w:ind w:left="0"/>
        <w:jc w:val="both"/>
      </w:pPr>
      <w:r>
        <w:rPr>
          <w:rFonts w:ascii="Times New Roman"/>
          <w:b w:val="false"/>
          <w:i w:val="false"/>
          <w:color w:val="000000"/>
          <w:sz w:val="28"/>
        </w:rPr>
        <w:t xml:space="preserve">
      1) обеспечения выполнения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w:t>
      </w:r>
    </w:p>
    <w:bookmarkEnd w:id="27"/>
    <w:bookmarkStart w:name="z35" w:id="28"/>
    <w:p>
      <w:pPr>
        <w:spacing w:after="0"/>
        <w:ind w:left="0"/>
        <w:jc w:val="both"/>
      </w:pPr>
      <w:r>
        <w:rPr>
          <w:rFonts w:ascii="Times New Roman"/>
          <w:b w:val="false"/>
          <w:i w:val="false"/>
          <w:color w:val="000000"/>
          <w:sz w:val="28"/>
        </w:rPr>
        <w:t>
      2) поддержания эффективности системы внутреннего контроля участника на уровне, достаточном для управления рисками ОД/ФТ/ФРОМУ и сопряженными рисками (операционным, репутационным, правовым);</w:t>
      </w:r>
    </w:p>
    <w:bookmarkEnd w:id="28"/>
    <w:bookmarkStart w:name="z36" w:id="29"/>
    <w:p>
      <w:pPr>
        <w:spacing w:after="0"/>
        <w:ind w:left="0"/>
        <w:jc w:val="both"/>
      </w:pPr>
      <w:r>
        <w:rPr>
          <w:rFonts w:ascii="Times New Roman"/>
          <w:b w:val="false"/>
          <w:i w:val="false"/>
          <w:color w:val="000000"/>
          <w:sz w:val="28"/>
        </w:rPr>
        <w:t>
      3) исключения вовлечения участника, их должностных лиц и работников в процессы ОД/ФТ/ФРОМУ.</w:t>
      </w:r>
    </w:p>
    <w:bookmarkEnd w:id="29"/>
    <w:bookmarkStart w:name="z37" w:id="30"/>
    <w:p>
      <w:pPr>
        <w:spacing w:after="0"/>
        <w:ind w:left="0"/>
        <w:jc w:val="both"/>
      </w:pPr>
      <w:r>
        <w:rPr>
          <w:rFonts w:ascii="Times New Roman"/>
          <w:b w:val="false"/>
          <w:i w:val="false"/>
          <w:color w:val="000000"/>
          <w:sz w:val="28"/>
        </w:rPr>
        <w:t>
      4. В рамках организации внутреннего контроля в целях противодействия ОД/ФТ/ФРОМУ участниками разрабатываются и принимаются правила внутреннего контроля в целях противодействия ОД/ФТ/ФРОМУ (далее – правила внутреннего контроля).</w:t>
      </w:r>
    </w:p>
    <w:bookmarkEnd w:id="30"/>
    <w:bookmarkStart w:name="z38" w:id="31"/>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ПОД/ФТ/ФРОМУ, которые разрабатываются участниками самостоятельно в соответствии с Требованиями и являются внутренними документами участников либо совокупностью таких документов.</w:t>
      </w:r>
    </w:p>
    <w:bookmarkEnd w:id="31"/>
    <w:bookmarkStart w:name="z39" w:id="32"/>
    <w:p>
      <w:pPr>
        <w:spacing w:after="0"/>
        <w:ind w:left="0"/>
        <w:jc w:val="left"/>
      </w:pPr>
      <w:r>
        <w:rPr>
          <w:rFonts w:ascii="Times New Roman"/>
          <w:b/>
          <w:i w:val="false"/>
          <w:color w:val="000000"/>
        </w:rPr>
        <w:t xml:space="preserve"> Глава 2. Программа организации внутреннего контроля в целях противодействия ОД/ФТ/ФРОМУ</w:t>
      </w:r>
    </w:p>
    <w:bookmarkEnd w:id="32"/>
    <w:bookmarkStart w:name="z40" w:id="33"/>
    <w:p>
      <w:pPr>
        <w:spacing w:after="0"/>
        <w:ind w:left="0"/>
        <w:jc w:val="both"/>
      </w:pPr>
      <w:r>
        <w:rPr>
          <w:rFonts w:ascii="Times New Roman"/>
          <w:b w:val="false"/>
          <w:i w:val="false"/>
          <w:color w:val="000000"/>
          <w:sz w:val="28"/>
        </w:rPr>
        <w:t xml:space="preserve">
      5. В порядке, установленном внутренними документами участника, у участника назначается лицо, ответственное за реализацию и соблюдение правил внутреннего контроля (далее – ответственный работник), которое имеет высшее образование и безупречную деловую репутацию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 и Законом Республики Казахстан "О цифровых активах в Республике Казахстан".</w:t>
      </w:r>
    </w:p>
    <w:bookmarkEnd w:id="33"/>
    <w:bookmarkStart w:name="z41" w:id="34"/>
    <w:p>
      <w:pPr>
        <w:spacing w:after="0"/>
        <w:ind w:left="0"/>
        <w:jc w:val="both"/>
      </w:pPr>
      <w:r>
        <w:rPr>
          <w:rFonts w:ascii="Times New Roman"/>
          <w:b w:val="false"/>
          <w:i w:val="false"/>
          <w:color w:val="000000"/>
          <w:sz w:val="28"/>
        </w:rPr>
        <w:t>
      6. Программа организации внутреннего контроля в целях противодействия ОД/ФТ/ФРОМУ включает, но не ограничивается:</w:t>
      </w:r>
    </w:p>
    <w:bookmarkEnd w:id="34"/>
    <w:bookmarkStart w:name="z42" w:id="35"/>
    <w:p>
      <w:pPr>
        <w:spacing w:after="0"/>
        <w:ind w:left="0"/>
        <w:jc w:val="both"/>
      </w:pPr>
      <w:r>
        <w:rPr>
          <w:rFonts w:ascii="Times New Roman"/>
          <w:b w:val="false"/>
          <w:i w:val="false"/>
          <w:color w:val="000000"/>
          <w:sz w:val="28"/>
        </w:rPr>
        <w:t>
      1) порядок фиксирования сведений, а также хранения документов и информации, полученных в ходе реализации внутреннего контроля в целях противодействия ОД/ФТ/ФРОМУ;</w:t>
      </w:r>
    </w:p>
    <w:bookmarkEnd w:id="35"/>
    <w:bookmarkStart w:name="z43" w:id="36"/>
    <w:p>
      <w:pPr>
        <w:spacing w:after="0"/>
        <w:ind w:left="0"/>
        <w:jc w:val="both"/>
      </w:pPr>
      <w:r>
        <w:rPr>
          <w:rFonts w:ascii="Times New Roman"/>
          <w:b w:val="false"/>
          <w:i w:val="false"/>
          <w:color w:val="000000"/>
          <w:sz w:val="28"/>
        </w:rPr>
        <w:t xml:space="preserve">
      2) порядок применения целевых финансовых санкций и проверки клиента (его представителя) и бенефициарного собственника на наличие в перечне организаций и лиц, связанных с финансированием терроризма и экстремизма, составленном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ПОД/ФТ/ФРОМУ (далее – Перечень) и перечне организаций и лиц, связанных с финансированием распространения оружия массового уничтожения,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ПОД/ФТ/ФРОМУ (далее – Перечень ФРОМУ);</w:t>
      </w:r>
    </w:p>
    <w:bookmarkEnd w:id="36"/>
    <w:bookmarkStart w:name="z44" w:id="37"/>
    <w:p>
      <w:pPr>
        <w:spacing w:after="0"/>
        <w:ind w:left="0"/>
        <w:jc w:val="both"/>
      </w:pPr>
      <w:r>
        <w:rPr>
          <w:rFonts w:ascii="Times New Roman"/>
          <w:b w:val="false"/>
          <w:i w:val="false"/>
          <w:color w:val="000000"/>
          <w:sz w:val="28"/>
        </w:rPr>
        <w:t>
      3) порядок прекращения действия целевых финансовых санкций при исключении сведений о клиенте (его представителе) и бенефициарном собственнике из Перечня и Перечня ФРОМУ;</w:t>
      </w:r>
    </w:p>
    <w:bookmarkEnd w:id="37"/>
    <w:bookmarkStart w:name="z45" w:id="38"/>
    <w:p>
      <w:pPr>
        <w:spacing w:after="0"/>
        <w:ind w:left="0"/>
        <w:jc w:val="both"/>
      </w:pPr>
      <w:r>
        <w:rPr>
          <w:rFonts w:ascii="Times New Roman"/>
          <w:b w:val="false"/>
          <w:i w:val="false"/>
          <w:color w:val="000000"/>
          <w:sz w:val="28"/>
        </w:rPr>
        <w:t xml:space="preserve">
      4) порядок информирования работниками участника о ставших им известными фактах нарушения </w:t>
      </w:r>
      <w:r>
        <w:rPr>
          <w:rFonts w:ascii="Times New Roman"/>
          <w:b w:val="false"/>
          <w:i w:val="false"/>
          <w:color w:val="000000"/>
          <w:sz w:val="28"/>
        </w:rPr>
        <w:t>Закона</w:t>
      </w:r>
      <w:r>
        <w:rPr>
          <w:rFonts w:ascii="Times New Roman"/>
          <w:b w:val="false"/>
          <w:i w:val="false"/>
          <w:color w:val="000000"/>
          <w:sz w:val="28"/>
        </w:rPr>
        <w:t xml:space="preserve"> о ПОД/ФТ/ФРОМУ, а также правил внутреннего контроля, допущенных работниками участника;</w:t>
      </w:r>
    </w:p>
    <w:bookmarkEnd w:id="38"/>
    <w:bookmarkStart w:name="z46" w:id="39"/>
    <w:p>
      <w:pPr>
        <w:spacing w:after="0"/>
        <w:ind w:left="0"/>
        <w:jc w:val="both"/>
      </w:pPr>
      <w:r>
        <w:rPr>
          <w:rFonts w:ascii="Times New Roman"/>
          <w:b w:val="false"/>
          <w:i w:val="false"/>
          <w:color w:val="000000"/>
          <w:sz w:val="28"/>
        </w:rPr>
        <w:t>
      5) описание требований по противодействию ОД/ФТ/ФРОМУ, установленных юридическими лицами, которые имеют контроль над участниками (при наличии);</w:t>
      </w:r>
    </w:p>
    <w:bookmarkEnd w:id="39"/>
    <w:bookmarkStart w:name="z47" w:id="40"/>
    <w:p>
      <w:pPr>
        <w:spacing w:after="0"/>
        <w:ind w:left="0"/>
        <w:jc w:val="both"/>
      </w:pPr>
      <w:r>
        <w:rPr>
          <w:rFonts w:ascii="Times New Roman"/>
          <w:b w:val="false"/>
          <w:i w:val="false"/>
          <w:color w:val="000000"/>
          <w:sz w:val="28"/>
        </w:rPr>
        <w:t>
      6) процедуру оценки, определения, документального фиксирования и обновления результатов оценки рисков ОД/ФТ/ФРОМУ;</w:t>
      </w:r>
    </w:p>
    <w:bookmarkEnd w:id="40"/>
    <w:bookmarkStart w:name="z48" w:id="41"/>
    <w:p>
      <w:pPr>
        <w:spacing w:after="0"/>
        <w:ind w:left="0"/>
        <w:jc w:val="both"/>
      </w:pPr>
      <w:r>
        <w:rPr>
          <w:rFonts w:ascii="Times New Roman"/>
          <w:b w:val="false"/>
          <w:i w:val="false"/>
          <w:color w:val="000000"/>
          <w:sz w:val="28"/>
        </w:rPr>
        <w:t>
      7) порядок соблюдения и реализации правил внутреннего контроля, в том числе порядок применения дополнительных мер контроля и процедуры по управлению рисками ОД/ФТ/ФРОМУ и их снижения, филиалами, представительствами, дочерними организациями участника, расположенными как в Республике Казахстан, так и за ее пределами, если это не противоречит законодательству государства их места нахождения.</w:t>
      </w:r>
    </w:p>
    <w:bookmarkEnd w:id="41"/>
    <w:bookmarkStart w:name="z49" w:id="42"/>
    <w:p>
      <w:pPr>
        <w:spacing w:after="0"/>
        <w:ind w:left="0"/>
        <w:jc w:val="both"/>
      </w:pPr>
      <w:r>
        <w:rPr>
          <w:rFonts w:ascii="Times New Roman"/>
          <w:b w:val="false"/>
          <w:i w:val="false"/>
          <w:color w:val="000000"/>
          <w:sz w:val="28"/>
        </w:rPr>
        <w:t>
      7. Функции ответственного работника в соответствии с программой организации внутреннего контроля в целях противодействия ОД/ФТ/ФРОМУ включают, но не ограничиваются:</w:t>
      </w:r>
    </w:p>
    <w:bookmarkEnd w:id="42"/>
    <w:bookmarkStart w:name="z50" w:id="43"/>
    <w:p>
      <w:pPr>
        <w:spacing w:after="0"/>
        <w:ind w:left="0"/>
        <w:jc w:val="both"/>
      </w:pPr>
      <w:r>
        <w:rPr>
          <w:rFonts w:ascii="Times New Roman"/>
          <w:b w:val="false"/>
          <w:i w:val="false"/>
          <w:color w:val="000000"/>
          <w:sz w:val="28"/>
        </w:rPr>
        <w:t>
      1) обеспечение наличия разработанных участником правил внутреннего контроля и (или) изменений (дополнений) к ним, а также мониторинг за их соблюдением;</w:t>
      </w:r>
    </w:p>
    <w:bookmarkEnd w:id="43"/>
    <w:bookmarkStart w:name="z51" w:id="44"/>
    <w:p>
      <w:pPr>
        <w:spacing w:after="0"/>
        <w:ind w:left="0"/>
        <w:jc w:val="both"/>
      </w:pPr>
      <w:r>
        <w:rPr>
          <w:rFonts w:ascii="Times New Roman"/>
          <w:b w:val="false"/>
          <w:i w:val="false"/>
          <w:color w:val="000000"/>
          <w:sz w:val="28"/>
        </w:rPr>
        <w:t xml:space="preserve">
      2) организацию представления и контроль за представлением сообщений в уполномоченный орган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44"/>
    <w:bookmarkStart w:name="z52" w:id="45"/>
    <w:p>
      <w:pPr>
        <w:spacing w:after="0"/>
        <w:ind w:left="0"/>
        <w:jc w:val="both"/>
      </w:pPr>
      <w:r>
        <w:rPr>
          <w:rFonts w:ascii="Times New Roman"/>
          <w:b w:val="false"/>
          <w:i w:val="false"/>
          <w:color w:val="000000"/>
          <w:sz w:val="28"/>
        </w:rPr>
        <w:t>
      3) информирование руководства участника о выявленных клиентах, состоящих в Перечне, Перечне ФРОМУ, и принятых мерах по применению целевых финансовых санкций;</w:t>
      </w:r>
    </w:p>
    <w:bookmarkEnd w:id="45"/>
    <w:bookmarkStart w:name="z53" w:id="46"/>
    <w:p>
      <w:pPr>
        <w:spacing w:after="0"/>
        <w:ind w:left="0"/>
        <w:jc w:val="both"/>
      </w:pPr>
      <w:r>
        <w:rPr>
          <w:rFonts w:ascii="Times New Roman"/>
          <w:b w:val="false"/>
          <w:i w:val="false"/>
          <w:color w:val="000000"/>
          <w:sz w:val="28"/>
        </w:rPr>
        <w:t>
      4) принятие решений о признании операций клиентов в качестве подозрительных и необходимости направления сообщений в уполномоченный орган в порядке, предусмотренном внутренними документами участника;</w:t>
      </w:r>
    </w:p>
    <w:bookmarkEnd w:id="46"/>
    <w:bookmarkStart w:name="z54" w:id="47"/>
    <w:p>
      <w:pPr>
        <w:spacing w:after="0"/>
        <w:ind w:left="0"/>
        <w:jc w:val="both"/>
      </w:pPr>
      <w:r>
        <w:rPr>
          <w:rFonts w:ascii="Times New Roman"/>
          <w:b w:val="false"/>
          <w:i w:val="false"/>
          <w:color w:val="000000"/>
          <w:sz w:val="28"/>
        </w:rPr>
        <w:t>
      5) принятие либо согласование с руководством участника решений о приостановлении, либо отказе от проведения операций клиентов в случаях, предусмотренных Законом о ПОД/ФТ/ФРОМУ и (или) договорами с клиентами, и в порядке, предусмотренном внутренними документами участника.</w:t>
      </w:r>
    </w:p>
    <w:bookmarkEnd w:id="47"/>
    <w:bookmarkStart w:name="z55" w:id="48"/>
    <w:p>
      <w:pPr>
        <w:spacing w:after="0"/>
        <w:ind w:left="0"/>
        <w:jc w:val="both"/>
      </w:pPr>
      <w:r>
        <w:rPr>
          <w:rFonts w:ascii="Times New Roman"/>
          <w:b w:val="false"/>
          <w:i w:val="false"/>
          <w:color w:val="000000"/>
          <w:sz w:val="28"/>
        </w:rPr>
        <w:t>
      8. Для выполнения возложенных функций ответственный работник наделяется следующими полномочиями, включая, но не ограничиваясь:</w:t>
      </w:r>
    </w:p>
    <w:bookmarkEnd w:id="48"/>
    <w:bookmarkStart w:name="z56" w:id="49"/>
    <w:p>
      <w:pPr>
        <w:spacing w:after="0"/>
        <w:ind w:left="0"/>
        <w:jc w:val="both"/>
      </w:pPr>
      <w:r>
        <w:rPr>
          <w:rFonts w:ascii="Times New Roman"/>
          <w:b w:val="false"/>
          <w:i w:val="false"/>
          <w:color w:val="000000"/>
          <w:sz w:val="28"/>
        </w:rPr>
        <w:t>
      1) получение доступа ко всем помещениям участника, цифровым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участника;</w:t>
      </w:r>
    </w:p>
    <w:bookmarkEnd w:id="49"/>
    <w:bookmarkStart w:name="z57" w:id="50"/>
    <w:p>
      <w:pPr>
        <w:spacing w:after="0"/>
        <w:ind w:left="0"/>
        <w:jc w:val="both"/>
      </w:pPr>
      <w:r>
        <w:rPr>
          <w:rFonts w:ascii="Times New Roman"/>
          <w:b w:val="false"/>
          <w:i w:val="false"/>
          <w:color w:val="000000"/>
          <w:sz w:val="28"/>
        </w:rPr>
        <w:t>
      2) обеспечение конфиденциальности информации, полученной при осуществлении своих функций;</w:t>
      </w:r>
    </w:p>
    <w:bookmarkEnd w:id="50"/>
    <w:bookmarkStart w:name="z58" w:id="51"/>
    <w:p>
      <w:pPr>
        <w:spacing w:after="0"/>
        <w:ind w:left="0"/>
        <w:jc w:val="both"/>
      </w:pPr>
      <w:r>
        <w:rPr>
          <w:rFonts w:ascii="Times New Roman"/>
          <w:b w:val="false"/>
          <w:i w:val="false"/>
          <w:color w:val="000000"/>
          <w:sz w:val="28"/>
        </w:rPr>
        <w:t>
      3) обеспечение сохранности получаемых от подразделений участника документов и файлов.</w:t>
      </w:r>
    </w:p>
    <w:bookmarkEnd w:id="51"/>
    <w:bookmarkStart w:name="z59" w:id="52"/>
    <w:p>
      <w:pPr>
        <w:spacing w:after="0"/>
        <w:ind w:left="0"/>
        <w:jc w:val="both"/>
      </w:pPr>
      <w:r>
        <w:rPr>
          <w:rFonts w:ascii="Times New Roman"/>
          <w:b w:val="false"/>
          <w:i w:val="false"/>
          <w:color w:val="000000"/>
          <w:sz w:val="28"/>
        </w:rPr>
        <w:t>
      9. Участник обеспечивает проведение независимой оценки эффективности системы внутреннего контроля в целях противодействия ОД/ФТ/ФРОМУ с учетом риск-ориентированного подхода.</w:t>
      </w:r>
    </w:p>
    <w:bookmarkEnd w:id="52"/>
    <w:bookmarkStart w:name="z60" w:id="53"/>
    <w:p>
      <w:pPr>
        <w:spacing w:after="0"/>
        <w:ind w:left="0"/>
        <w:jc w:val="both"/>
      </w:pPr>
      <w:r>
        <w:rPr>
          <w:rFonts w:ascii="Times New Roman"/>
          <w:b w:val="false"/>
          <w:i w:val="false"/>
          <w:color w:val="000000"/>
          <w:sz w:val="28"/>
        </w:rPr>
        <w:t>
      Такая оценка проводится лицом (подразделением) либо внешней организацией, не участвующими в реализации правил внутреннего контроля. Результаты оценки используются участником для совершенствования системы внутреннего контроля.</w:t>
      </w:r>
    </w:p>
    <w:bookmarkEnd w:id="53"/>
    <w:bookmarkStart w:name="z61" w:id="54"/>
    <w:p>
      <w:pPr>
        <w:spacing w:after="0"/>
        <w:ind w:left="0"/>
        <w:jc w:val="both"/>
      </w:pPr>
      <w:r>
        <w:rPr>
          <w:rFonts w:ascii="Times New Roman"/>
          <w:b w:val="false"/>
          <w:i w:val="false"/>
          <w:color w:val="000000"/>
          <w:sz w:val="28"/>
        </w:rPr>
        <w:t>
      10. Участник для автоматизации процессов по вопросам внутреннего контроля в целях противодействия ОД/ФТ/ФРОМУ использует цифровые системы, соответствующие следующим требованиям:</w:t>
      </w:r>
    </w:p>
    <w:bookmarkEnd w:id="54"/>
    <w:bookmarkStart w:name="z62" w:id="55"/>
    <w:p>
      <w:pPr>
        <w:spacing w:after="0"/>
        <w:ind w:left="0"/>
        <w:jc w:val="both"/>
      </w:pPr>
      <w:r>
        <w:rPr>
          <w:rFonts w:ascii="Times New Roman"/>
          <w:b w:val="false"/>
          <w:i w:val="false"/>
          <w:color w:val="000000"/>
          <w:sz w:val="28"/>
        </w:rPr>
        <w:t>
      1) возможность ведения досье (анкет) клиентов, включая вносимые в них изменения (дополнения);</w:t>
      </w:r>
    </w:p>
    <w:bookmarkEnd w:id="55"/>
    <w:bookmarkStart w:name="z63" w:id="56"/>
    <w:p>
      <w:pPr>
        <w:spacing w:after="0"/>
        <w:ind w:left="0"/>
        <w:jc w:val="both"/>
      </w:pPr>
      <w:r>
        <w:rPr>
          <w:rFonts w:ascii="Times New Roman"/>
          <w:b w:val="false"/>
          <w:i w:val="false"/>
          <w:color w:val="000000"/>
          <w:sz w:val="28"/>
        </w:rPr>
        <w:t xml:space="preserve">
      2) выявление пороговых операций с деньгами и (или) иным имуществом, подлежащих финансовому мониторингу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ПОД/ФТ/ФРОМУ, которые равны либо превышают установленную </w:t>
      </w:r>
      <w:r>
        <w:rPr>
          <w:rFonts w:ascii="Times New Roman"/>
          <w:b w:val="false"/>
          <w:i w:val="false"/>
          <w:color w:val="000000"/>
          <w:sz w:val="28"/>
        </w:rPr>
        <w:t>Законом</w:t>
      </w:r>
      <w:r>
        <w:rPr>
          <w:rFonts w:ascii="Times New Roman"/>
          <w:b w:val="false"/>
          <w:i w:val="false"/>
          <w:color w:val="000000"/>
          <w:sz w:val="28"/>
        </w:rPr>
        <w:t xml:space="preserve"> о ПОД/ФТ/ФРОМУ пороговую сумму, а также подозрительных операций по заранее заданным критериям с учетом требований законодательства Республики Казахстан о противодействии ОД/ФТ/ФРОМУ, а также результатов оценки степени подверженности услуг участника рискам ОД/ФТ/ФРОМУ;</w:t>
      </w:r>
    </w:p>
    <w:bookmarkEnd w:id="56"/>
    <w:bookmarkStart w:name="z64" w:id="57"/>
    <w:p>
      <w:pPr>
        <w:spacing w:after="0"/>
        <w:ind w:left="0"/>
        <w:jc w:val="both"/>
      </w:pPr>
      <w:r>
        <w:rPr>
          <w:rFonts w:ascii="Times New Roman"/>
          <w:b w:val="false"/>
          <w:i w:val="false"/>
          <w:color w:val="000000"/>
          <w:sz w:val="28"/>
        </w:rPr>
        <w:t>
      3) отсутствие возможности исключения информации из базы данных по досье (анкетам) клиентов, проведенным операциям, отправленным сообщениям в уполномоченный орган;</w:t>
      </w:r>
    </w:p>
    <w:bookmarkEnd w:id="57"/>
    <w:bookmarkStart w:name="z65" w:id="58"/>
    <w:p>
      <w:pPr>
        <w:spacing w:after="0"/>
        <w:ind w:left="0"/>
        <w:jc w:val="both"/>
      </w:pPr>
      <w:r>
        <w:rPr>
          <w:rFonts w:ascii="Times New Roman"/>
          <w:b w:val="false"/>
          <w:i w:val="false"/>
          <w:color w:val="000000"/>
          <w:sz w:val="28"/>
        </w:rPr>
        <w:t>
      4) наличие системы резервного копирования и хранения информации;</w:t>
      </w:r>
    </w:p>
    <w:bookmarkEnd w:id="58"/>
    <w:bookmarkStart w:name="z66" w:id="59"/>
    <w:p>
      <w:pPr>
        <w:spacing w:after="0"/>
        <w:ind w:left="0"/>
        <w:jc w:val="both"/>
      </w:pPr>
      <w:r>
        <w:rPr>
          <w:rFonts w:ascii="Times New Roman"/>
          <w:b w:val="false"/>
          <w:i w:val="false"/>
          <w:color w:val="000000"/>
          <w:sz w:val="28"/>
        </w:rPr>
        <w:t>
      5) ведение протокола работы каждого пользователя, защищенного от модификации.</w:t>
      </w:r>
    </w:p>
    <w:bookmarkEnd w:id="59"/>
    <w:bookmarkStart w:name="z67" w:id="60"/>
    <w:p>
      <w:pPr>
        <w:spacing w:after="0"/>
        <w:ind w:left="0"/>
        <w:jc w:val="both"/>
      </w:pPr>
      <w:r>
        <w:rPr>
          <w:rFonts w:ascii="Times New Roman"/>
          <w:b w:val="false"/>
          <w:i w:val="false"/>
          <w:color w:val="000000"/>
          <w:sz w:val="28"/>
        </w:rPr>
        <w:t>
      11. Допускается использование услуг центра обмена идентификационными данными (далее – ЦОИД) и кредитного бюро с государственным участием при идентификации клиента с использованием средств биометрической идентификации.</w:t>
      </w:r>
    </w:p>
    <w:bookmarkEnd w:id="60"/>
    <w:bookmarkStart w:name="z68" w:id="61"/>
    <w:p>
      <w:pPr>
        <w:spacing w:after="0"/>
        <w:ind w:left="0"/>
        <w:jc w:val="left"/>
      </w:pPr>
      <w:r>
        <w:rPr>
          <w:rFonts w:ascii="Times New Roman"/>
          <w:b/>
          <w:i w:val="false"/>
          <w:color w:val="000000"/>
        </w:rPr>
        <w:t xml:space="preserve"> Глава 3. Программа управления рисками ОД/ФТ/ФРОМУ</w:t>
      </w:r>
    </w:p>
    <w:bookmarkEnd w:id="61"/>
    <w:bookmarkStart w:name="z69" w:id="62"/>
    <w:p>
      <w:pPr>
        <w:spacing w:after="0"/>
        <w:ind w:left="0"/>
        <w:jc w:val="both"/>
      </w:pPr>
      <w:r>
        <w:rPr>
          <w:rFonts w:ascii="Times New Roman"/>
          <w:b w:val="false"/>
          <w:i w:val="false"/>
          <w:color w:val="000000"/>
          <w:sz w:val="28"/>
        </w:rPr>
        <w:t>
      12. В целях организации управления рисками ОД/ФТ/ФРОМУ участник разрабатывает программу управления рисками ОД/ФТ/ФРОМУ.</w:t>
      </w:r>
    </w:p>
    <w:bookmarkEnd w:id="62"/>
    <w:bookmarkStart w:name="z70" w:id="63"/>
    <w:p>
      <w:pPr>
        <w:spacing w:after="0"/>
        <w:ind w:left="0"/>
        <w:jc w:val="both"/>
      </w:pPr>
      <w:r>
        <w:rPr>
          <w:rFonts w:ascii="Times New Roman"/>
          <w:b w:val="false"/>
          <w:i w:val="false"/>
          <w:color w:val="000000"/>
          <w:sz w:val="28"/>
        </w:rPr>
        <w:t xml:space="preserve">
      13. При реализации программы управления рисками ОД/ФТ/ФРОМУ участник учитывает опубликованную информацию из отчета рисков ОД/ФТ/ФРОМУ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11-1 Закона о ПОД/ФТ/ФРОМУ.</w:t>
      </w:r>
    </w:p>
    <w:bookmarkEnd w:id="63"/>
    <w:bookmarkStart w:name="z71" w:id="64"/>
    <w:p>
      <w:pPr>
        <w:spacing w:after="0"/>
        <w:ind w:left="0"/>
        <w:jc w:val="both"/>
      </w:pPr>
      <w:r>
        <w:rPr>
          <w:rFonts w:ascii="Times New Roman"/>
          <w:b w:val="false"/>
          <w:i w:val="false"/>
          <w:color w:val="000000"/>
          <w:sz w:val="28"/>
        </w:rPr>
        <w:t>
      14. Программа управления рисками ОД/ФТ/ФРОМУ включает, но не ограничивается:</w:t>
      </w:r>
    </w:p>
    <w:bookmarkEnd w:id="64"/>
    <w:bookmarkStart w:name="z72" w:id="65"/>
    <w:p>
      <w:pPr>
        <w:spacing w:after="0"/>
        <w:ind w:left="0"/>
        <w:jc w:val="both"/>
      </w:pPr>
      <w:r>
        <w:rPr>
          <w:rFonts w:ascii="Times New Roman"/>
          <w:b w:val="false"/>
          <w:i w:val="false"/>
          <w:color w:val="000000"/>
          <w:sz w:val="28"/>
        </w:rPr>
        <w:t>
      1) порядок организации управления рисками ОД/ФТ/ФРОМУ;</w:t>
      </w:r>
    </w:p>
    <w:bookmarkEnd w:id="65"/>
    <w:bookmarkStart w:name="z73" w:id="66"/>
    <w:p>
      <w:pPr>
        <w:spacing w:after="0"/>
        <w:ind w:left="0"/>
        <w:jc w:val="both"/>
      </w:pPr>
      <w:r>
        <w:rPr>
          <w:rFonts w:ascii="Times New Roman"/>
          <w:b w:val="false"/>
          <w:i w:val="false"/>
          <w:color w:val="000000"/>
          <w:sz w:val="28"/>
        </w:rPr>
        <w:t>
      2) методику оценки рисков ОД/ФТ/ФРОМУ с учетом основных категорий рисков (по типу клиента, страновому риску и риску услуг/продуктов) в отношении:</w:t>
      </w:r>
    </w:p>
    <w:bookmarkEnd w:id="66"/>
    <w:bookmarkStart w:name="z74" w:id="67"/>
    <w:p>
      <w:pPr>
        <w:spacing w:after="0"/>
        <w:ind w:left="0"/>
        <w:jc w:val="both"/>
      </w:pPr>
      <w:r>
        <w:rPr>
          <w:rFonts w:ascii="Times New Roman"/>
          <w:b w:val="false"/>
          <w:i w:val="false"/>
          <w:color w:val="000000"/>
          <w:sz w:val="28"/>
        </w:rPr>
        <w:t>
      уровня риска клиента;</w:t>
      </w:r>
    </w:p>
    <w:bookmarkEnd w:id="67"/>
    <w:bookmarkStart w:name="z75" w:id="68"/>
    <w:p>
      <w:pPr>
        <w:spacing w:after="0"/>
        <w:ind w:left="0"/>
        <w:jc w:val="both"/>
      </w:pPr>
      <w:r>
        <w:rPr>
          <w:rFonts w:ascii="Times New Roman"/>
          <w:b w:val="false"/>
          <w:i w:val="false"/>
          <w:color w:val="000000"/>
          <w:sz w:val="28"/>
        </w:rPr>
        <w:t>
      степени подверженности услуг (продуктов) участника рискам ОД/ФТ/ФРОМУ;</w:t>
      </w:r>
    </w:p>
    <w:bookmarkEnd w:id="68"/>
    <w:bookmarkStart w:name="z76" w:id="69"/>
    <w:p>
      <w:pPr>
        <w:spacing w:after="0"/>
        <w:ind w:left="0"/>
        <w:jc w:val="both"/>
      </w:pPr>
      <w:r>
        <w:rPr>
          <w:rFonts w:ascii="Times New Roman"/>
          <w:b w:val="false"/>
          <w:i w:val="false"/>
          <w:color w:val="000000"/>
          <w:sz w:val="28"/>
        </w:rPr>
        <w:t>
      3) порядок присвоения, сроки и основания для пересмотра уровней рисков клиентов.</w:t>
      </w:r>
    </w:p>
    <w:bookmarkEnd w:id="69"/>
    <w:bookmarkStart w:name="z77" w:id="70"/>
    <w:p>
      <w:pPr>
        <w:spacing w:after="0"/>
        <w:ind w:left="0"/>
        <w:jc w:val="both"/>
      </w:pPr>
      <w:r>
        <w:rPr>
          <w:rFonts w:ascii="Times New Roman"/>
          <w:b w:val="false"/>
          <w:i w:val="false"/>
          <w:color w:val="000000"/>
          <w:sz w:val="28"/>
        </w:rPr>
        <w:t>
      4) порядок определения и оценки рисков ОД/ФТ/ФРОМУ, возникающих до разработки (запуска) новых продуктов и новой деловой практики, включая новые механизмы передачи, а также использовании новых или развивающихся технологий как для новых, так и для уже существующих продуктов.</w:t>
      </w:r>
    </w:p>
    <w:bookmarkEnd w:id="70"/>
    <w:bookmarkStart w:name="z78" w:id="71"/>
    <w:p>
      <w:pPr>
        <w:spacing w:after="0"/>
        <w:ind w:left="0"/>
        <w:jc w:val="both"/>
      </w:pPr>
      <w:r>
        <w:rPr>
          <w:rFonts w:ascii="Times New Roman"/>
          <w:b w:val="false"/>
          <w:i w:val="false"/>
          <w:color w:val="000000"/>
          <w:sz w:val="28"/>
        </w:rPr>
        <w:t>
      15. Типы клиентов, чей статус и (или) чья деятельность имеет высокий риск ОД/ФТ/ФРОМУ, включают, но не ограничиваются:</w:t>
      </w:r>
    </w:p>
    <w:bookmarkEnd w:id="71"/>
    <w:bookmarkStart w:name="z79" w:id="72"/>
    <w:p>
      <w:pPr>
        <w:spacing w:after="0"/>
        <w:ind w:left="0"/>
        <w:jc w:val="both"/>
      </w:pPr>
      <w:r>
        <w:rPr>
          <w:rFonts w:ascii="Times New Roman"/>
          <w:b w:val="false"/>
          <w:i w:val="false"/>
          <w:color w:val="000000"/>
          <w:sz w:val="28"/>
        </w:rPr>
        <w:t>
      1) публичные должностные лица, их супруги и близкие родственники;</w:t>
      </w:r>
    </w:p>
    <w:bookmarkEnd w:id="72"/>
    <w:bookmarkStart w:name="z80" w:id="73"/>
    <w:p>
      <w:pPr>
        <w:spacing w:after="0"/>
        <w:ind w:left="0"/>
        <w:jc w:val="both"/>
      </w:pPr>
      <w:r>
        <w:rPr>
          <w:rFonts w:ascii="Times New Roman"/>
          <w:b w:val="false"/>
          <w:i w:val="false"/>
          <w:color w:val="000000"/>
          <w:sz w:val="28"/>
        </w:rPr>
        <w:t>
      2) иностранные финансовые организации, включая их филиалы на территории Республики Казахстан;</w:t>
      </w:r>
    </w:p>
    <w:bookmarkEnd w:id="73"/>
    <w:bookmarkStart w:name="z81" w:id="74"/>
    <w:p>
      <w:pPr>
        <w:spacing w:after="0"/>
        <w:ind w:left="0"/>
        <w:jc w:val="both"/>
      </w:pPr>
      <w:r>
        <w:rPr>
          <w:rFonts w:ascii="Times New Roman"/>
          <w:b w:val="false"/>
          <w:i w:val="false"/>
          <w:color w:val="000000"/>
          <w:sz w:val="28"/>
        </w:rPr>
        <w:t>
      3) лица, осуществляющие выпуск и оборот необеспеченных цифровых активов на территории Международного финансового центра "Астана";</w:t>
      </w:r>
    </w:p>
    <w:bookmarkEnd w:id="74"/>
    <w:bookmarkStart w:name="z82" w:id="75"/>
    <w:p>
      <w:pPr>
        <w:spacing w:after="0"/>
        <w:ind w:left="0"/>
        <w:jc w:val="both"/>
      </w:pPr>
      <w:r>
        <w:rPr>
          <w:rFonts w:ascii="Times New Roman"/>
          <w:b w:val="false"/>
          <w:i w:val="false"/>
          <w:color w:val="000000"/>
          <w:sz w:val="28"/>
        </w:rPr>
        <w:t>
      4) услуги с кошельками цифровых активов клиентов, имеющими признаки использования клиентом сервисов по анонимизации, усложняющие отслеживание транзакции (миксеров), в том числе в сочетании с иными факторами повышенного риска;</w:t>
      </w:r>
    </w:p>
    <w:bookmarkEnd w:id="75"/>
    <w:bookmarkStart w:name="z83" w:id="76"/>
    <w:p>
      <w:pPr>
        <w:spacing w:after="0"/>
        <w:ind w:left="0"/>
        <w:jc w:val="both"/>
      </w:pPr>
      <w:r>
        <w:rPr>
          <w:rFonts w:ascii="Times New Roman"/>
          <w:b w:val="false"/>
          <w:i w:val="false"/>
          <w:color w:val="000000"/>
          <w:sz w:val="28"/>
        </w:rPr>
        <w:t>
      5) услуги и операции с цифровыми активами с использованием кошельков цифровых активов, не обслуживаемых провайдерами услуг цифровых активов;</w:t>
      </w:r>
    </w:p>
    <w:bookmarkEnd w:id="76"/>
    <w:bookmarkStart w:name="z84" w:id="77"/>
    <w:p>
      <w:pPr>
        <w:spacing w:after="0"/>
        <w:ind w:left="0"/>
        <w:jc w:val="both"/>
      </w:pPr>
      <w:r>
        <w:rPr>
          <w:rFonts w:ascii="Times New Roman"/>
          <w:b w:val="false"/>
          <w:i w:val="false"/>
          <w:color w:val="000000"/>
          <w:sz w:val="28"/>
        </w:rPr>
        <w:t>
      6) юридические лица и индивидуальные предприниматели, деятельность которых связана с интенсивным оборотом наличных денег, в том числе:</w:t>
      </w:r>
    </w:p>
    <w:bookmarkEnd w:id="77"/>
    <w:bookmarkStart w:name="z85" w:id="78"/>
    <w:p>
      <w:pPr>
        <w:spacing w:after="0"/>
        <w:ind w:left="0"/>
        <w:jc w:val="both"/>
      </w:pPr>
      <w:r>
        <w:rPr>
          <w:rFonts w:ascii="Times New Roman"/>
          <w:b w:val="false"/>
          <w:i w:val="false"/>
          <w:color w:val="000000"/>
          <w:sz w:val="28"/>
        </w:rPr>
        <w:t>
      организаторы игорного бизнеса, а также лица, предоставляющие услуги либо получающие доходы от деятельности онлайн-казино за пределами Республики Казахстан;</w:t>
      </w:r>
    </w:p>
    <w:bookmarkEnd w:id="78"/>
    <w:bookmarkStart w:name="z86" w:id="79"/>
    <w:p>
      <w:pPr>
        <w:spacing w:after="0"/>
        <w:ind w:left="0"/>
        <w:jc w:val="both"/>
      </w:pPr>
      <w:r>
        <w:rPr>
          <w:rFonts w:ascii="Times New Roman"/>
          <w:b w:val="false"/>
          <w:i w:val="false"/>
          <w:color w:val="000000"/>
          <w:sz w:val="28"/>
        </w:rPr>
        <w:t>
      лица, предоставляющие туристские услуги, а также иные услуги, связанные с интенсивным оборотом наличных денег;</w:t>
      </w:r>
    </w:p>
    <w:bookmarkEnd w:id="79"/>
    <w:bookmarkStart w:name="z87" w:id="80"/>
    <w:p>
      <w:pPr>
        <w:spacing w:after="0"/>
        <w:ind w:left="0"/>
        <w:jc w:val="both"/>
      </w:pPr>
      <w:r>
        <w:rPr>
          <w:rFonts w:ascii="Times New Roman"/>
          <w:b w:val="false"/>
          <w:i w:val="false"/>
          <w:color w:val="000000"/>
          <w:sz w:val="28"/>
        </w:rPr>
        <w:t>
      7) страховые (перестраховочные) организации, страховые брокеры, осуществляющие деятельность по отрасли "страхование жизни";</w:t>
      </w:r>
    </w:p>
    <w:bookmarkEnd w:id="80"/>
    <w:bookmarkStart w:name="z88" w:id="81"/>
    <w:p>
      <w:pPr>
        <w:spacing w:after="0"/>
        <w:ind w:left="0"/>
        <w:jc w:val="both"/>
      </w:pPr>
      <w:r>
        <w:rPr>
          <w:rFonts w:ascii="Times New Roman"/>
          <w:b w:val="false"/>
          <w:i w:val="false"/>
          <w:color w:val="000000"/>
          <w:sz w:val="28"/>
        </w:rPr>
        <w:t>
      8) лица, осуществляющие деятельность в качестве страховых агентов;</w:t>
      </w:r>
    </w:p>
    <w:bookmarkEnd w:id="81"/>
    <w:bookmarkStart w:name="z89" w:id="82"/>
    <w:p>
      <w:pPr>
        <w:spacing w:after="0"/>
        <w:ind w:left="0"/>
        <w:jc w:val="both"/>
      </w:pPr>
      <w:r>
        <w:rPr>
          <w:rFonts w:ascii="Times New Roman"/>
          <w:b w:val="false"/>
          <w:i w:val="false"/>
          <w:color w:val="000000"/>
          <w:sz w:val="28"/>
        </w:rPr>
        <w:t>
      9) лица, осуществляющие посредническую деятельность по купле-продаже недвижимости;</w:t>
      </w:r>
    </w:p>
    <w:bookmarkEnd w:id="82"/>
    <w:bookmarkStart w:name="z90" w:id="83"/>
    <w:p>
      <w:pPr>
        <w:spacing w:after="0"/>
        <w:ind w:left="0"/>
        <w:jc w:val="both"/>
      </w:pPr>
      <w:r>
        <w:rPr>
          <w:rFonts w:ascii="Times New Roman"/>
          <w:b w:val="false"/>
          <w:i w:val="false"/>
          <w:color w:val="000000"/>
          <w:sz w:val="28"/>
        </w:rPr>
        <w:t>
      10) некоммерческие организации, в организационно-правовой форме фондов, религиозных объединений;</w:t>
      </w:r>
    </w:p>
    <w:bookmarkEnd w:id="83"/>
    <w:bookmarkStart w:name="z91" w:id="84"/>
    <w:p>
      <w:pPr>
        <w:spacing w:after="0"/>
        <w:ind w:left="0"/>
        <w:jc w:val="both"/>
      </w:pPr>
      <w:r>
        <w:rPr>
          <w:rFonts w:ascii="Times New Roman"/>
          <w:b w:val="false"/>
          <w:i w:val="false"/>
          <w:color w:val="000000"/>
          <w:sz w:val="28"/>
        </w:rPr>
        <w:t>
      11) лица, расположенные (зарегистрированные) в иностранных государствах, указанных в пункте 16 Требований, а также расположенные в Республике Казахстан филиалы и представительства таких лиц;</w:t>
      </w:r>
    </w:p>
    <w:bookmarkEnd w:id="84"/>
    <w:bookmarkStart w:name="z92" w:id="85"/>
    <w:p>
      <w:pPr>
        <w:spacing w:after="0"/>
        <w:ind w:left="0"/>
        <w:jc w:val="both"/>
      </w:pPr>
      <w:r>
        <w:rPr>
          <w:rFonts w:ascii="Times New Roman"/>
          <w:b w:val="false"/>
          <w:i w:val="false"/>
          <w:color w:val="000000"/>
          <w:sz w:val="28"/>
        </w:rPr>
        <w:t>
      12) определенные участником дополнительные типы (при наличии) клиентов, чей статус и (или) чья деятельность повышают риск ОД/ФТ/ФРОМУ.</w:t>
      </w:r>
    </w:p>
    <w:bookmarkEnd w:id="85"/>
    <w:bookmarkStart w:name="z93" w:id="86"/>
    <w:p>
      <w:pPr>
        <w:spacing w:after="0"/>
        <w:ind w:left="0"/>
        <w:jc w:val="both"/>
      </w:pPr>
      <w:r>
        <w:rPr>
          <w:rFonts w:ascii="Times New Roman"/>
          <w:b w:val="false"/>
          <w:i w:val="false"/>
          <w:color w:val="000000"/>
          <w:sz w:val="28"/>
        </w:rPr>
        <w:t>
      16. Типы клиентов, чей статус и (или) чья деятельность понижают риск ОД/ФТ/ФРОМУ, включают, но не ограничиваются:</w:t>
      </w:r>
    </w:p>
    <w:bookmarkEnd w:id="86"/>
    <w:bookmarkStart w:name="z94" w:id="87"/>
    <w:p>
      <w:pPr>
        <w:spacing w:after="0"/>
        <w:ind w:left="0"/>
        <w:jc w:val="both"/>
      </w:pPr>
      <w:r>
        <w:rPr>
          <w:rFonts w:ascii="Times New Roman"/>
          <w:b w:val="false"/>
          <w:i w:val="false"/>
          <w:color w:val="000000"/>
          <w:sz w:val="28"/>
        </w:rPr>
        <w:t>
      1) государственные органы Республики Казахстан, включая Национальный Банк Республики Казахстан, уполномоченный орган по регулированию, контролю и надзору финансового рынка и финансовых организаций, а также юридические лица, контроль над которыми осуществляется государственными органами Республики Казахстан;</w:t>
      </w:r>
    </w:p>
    <w:bookmarkEnd w:id="87"/>
    <w:bookmarkStart w:name="z95" w:id="88"/>
    <w:p>
      <w:pPr>
        <w:spacing w:after="0"/>
        <w:ind w:left="0"/>
        <w:jc w:val="both"/>
      </w:pPr>
      <w:r>
        <w:rPr>
          <w:rFonts w:ascii="Times New Roman"/>
          <w:b w:val="false"/>
          <w:i w:val="false"/>
          <w:color w:val="000000"/>
          <w:sz w:val="28"/>
        </w:rPr>
        <w:t>
      2) юридические лица, созданные в организационно-правовой форме государственных учреждений или государственных предприятий, а также национальным управляющим холдингом либо юридическими лицами, сто процентов голосующих акций (долей участия) которых принадлежат национальному управляющему холдингу;</w:t>
      </w:r>
    </w:p>
    <w:bookmarkEnd w:id="88"/>
    <w:bookmarkStart w:name="z96" w:id="89"/>
    <w:p>
      <w:pPr>
        <w:spacing w:after="0"/>
        <w:ind w:left="0"/>
        <w:jc w:val="both"/>
      </w:pPr>
      <w:r>
        <w:rPr>
          <w:rFonts w:ascii="Times New Roman"/>
          <w:b w:val="false"/>
          <w:i w:val="false"/>
          <w:color w:val="000000"/>
          <w:sz w:val="28"/>
        </w:rPr>
        <w:t>
      3) банки второго уровня (за исключением филиалов иностранных банков), страховые (перестраховочные) организации – резиденты Республики Казахстан, профессиональные участники рынка ценных бумаг - резиденты Республики Казахстан.</w:t>
      </w:r>
    </w:p>
    <w:bookmarkEnd w:id="89"/>
    <w:bookmarkStart w:name="z97" w:id="90"/>
    <w:p>
      <w:pPr>
        <w:spacing w:after="0"/>
        <w:ind w:left="0"/>
        <w:jc w:val="both"/>
      </w:pPr>
      <w:r>
        <w:rPr>
          <w:rFonts w:ascii="Times New Roman"/>
          <w:b w:val="false"/>
          <w:i w:val="false"/>
          <w:color w:val="000000"/>
          <w:sz w:val="28"/>
        </w:rPr>
        <w:t>
      17. Участник осуществляет оценку странового риска, связанного с ведением деятельности в иностранных государствах (территориях), указанных в настоящем пункте, предоставлением услуг клиентам из таких иностранных государств, осуществлением операций с участием таких иностранных государств.</w:t>
      </w:r>
    </w:p>
    <w:bookmarkEnd w:id="90"/>
    <w:bookmarkStart w:name="z98" w:id="91"/>
    <w:p>
      <w:pPr>
        <w:spacing w:after="0"/>
        <w:ind w:left="0"/>
        <w:jc w:val="both"/>
      </w:pPr>
      <w:r>
        <w:rPr>
          <w:rFonts w:ascii="Times New Roman"/>
          <w:b w:val="false"/>
          <w:i w:val="false"/>
          <w:color w:val="000000"/>
          <w:sz w:val="28"/>
        </w:rPr>
        <w:t>
      Иностранными государствами (территориями), операции с которыми повышают риск ОД/ФТ/ФРОМУ, являются:</w:t>
      </w:r>
    </w:p>
    <w:bookmarkEnd w:id="91"/>
    <w:bookmarkStart w:name="z99" w:id="92"/>
    <w:p>
      <w:pPr>
        <w:spacing w:after="0"/>
        <w:ind w:left="0"/>
        <w:jc w:val="both"/>
      </w:pPr>
      <w:r>
        <w:rPr>
          <w:rFonts w:ascii="Times New Roman"/>
          <w:b w:val="false"/>
          <w:i w:val="false"/>
          <w:color w:val="000000"/>
          <w:sz w:val="28"/>
        </w:rPr>
        <w:t xml:space="preserve">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w:t>
      </w:r>
    </w:p>
    <w:bookmarkEnd w:id="92"/>
    <w:bookmarkStart w:name="z100" w:id="93"/>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Организации Объединенных Наций;</w:t>
      </w:r>
    </w:p>
    <w:bookmarkEnd w:id="93"/>
    <w:bookmarkStart w:name="z101" w:id="94"/>
    <w:p>
      <w:pPr>
        <w:spacing w:after="0"/>
        <w:ind w:left="0"/>
        <w:jc w:val="both"/>
      </w:pPr>
      <w:r>
        <w:rPr>
          <w:rFonts w:ascii="Times New Roman"/>
          <w:b w:val="false"/>
          <w:i w:val="false"/>
          <w:color w:val="000000"/>
          <w:sz w:val="28"/>
        </w:rPr>
        <w:t>
      3) иностранные государства (территории), характеризующиеся как оффшорные зоны согласно перечню оффшорных зон, установленному Национальным Банком Республики Казахстан;</w:t>
      </w:r>
    </w:p>
    <w:bookmarkEnd w:id="94"/>
    <w:bookmarkStart w:name="z102" w:id="95"/>
    <w:p>
      <w:pPr>
        <w:spacing w:after="0"/>
        <w:ind w:left="0"/>
        <w:jc w:val="both"/>
      </w:pPr>
      <w:r>
        <w:rPr>
          <w:rFonts w:ascii="Times New Roman"/>
          <w:b w:val="false"/>
          <w:i w:val="false"/>
          <w:color w:val="000000"/>
          <w:sz w:val="28"/>
        </w:rPr>
        <w:t>
      4) иностранные государства (территории), определенные участником в качестве представляющих высокий риск ОД/ФТ/ФРОМУ на основе других факторов (сведения об уровне коррупции, незаконного производства, оборота и (или) транзита наркотиков, сведения о поддержке международного терроризма и другое).</w:t>
      </w:r>
    </w:p>
    <w:bookmarkEnd w:id="95"/>
    <w:bookmarkStart w:name="z103" w:id="96"/>
    <w:p>
      <w:pPr>
        <w:spacing w:after="0"/>
        <w:ind w:left="0"/>
        <w:jc w:val="both"/>
      </w:pPr>
      <w:r>
        <w:rPr>
          <w:rFonts w:ascii="Times New Roman"/>
          <w:b w:val="false"/>
          <w:i w:val="false"/>
          <w:color w:val="000000"/>
          <w:sz w:val="28"/>
        </w:rPr>
        <w:t>
      18. При оценке степени подверженности услуг участника рискам ОД/ФТ/ФРОМУ в соответствии с факторами рисков, указанными в пунктах 12, 13, 14 и 15 Требований, участником учитываются дополнительные сведения, влияющие на итоговую степень риска, включая, но не ограничиваясь:</w:t>
      </w:r>
    </w:p>
    <w:bookmarkEnd w:id="96"/>
    <w:bookmarkStart w:name="z104" w:id="97"/>
    <w:p>
      <w:pPr>
        <w:spacing w:after="0"/>
        <w:ind w:left="0"/>
        <w:jc w:val="both"/>
      </w:pPr>
      <w:r>
        <w:rPr>
          <w:rFonts w:ascii="Times New Roman"/>
          <w:b w:val="false"/>
          <w:i w:val="false"/>
          <w:color w:val="000000"/>
          <w:sz w:val="28"/>
        </w:rPr>
        <w:t>
      1) количество направленных участником в уполномоченный орган сообщений о подозрительных операциях клиентов;</w:t>
      </w:r>
    </w:p>
    <w:bookmarkEnd w:id="97"/>
    <w:bookmarkStart w:name="z105" w:id="98"/>
    <w:p>
      <w:pPr>
        <w:spacing w:after="0"/>
        <w:ind w:left="0"/>
        <w:jc w:val="both"/>
      </w:pPr>
      <w:r>
        <w:rPr>
          <w:rFonts w:ascii="Times New Roman"/>
          <w:b w:val="false"/>
          <w:i w:val="false"/>
          <w:color w:val="000000"/>
          <w:sz w:val="28"/>
        </w:rPr>
        <w:t>
      2) количество направленных участником в уполномоченный орган сообщений о пороговых операциях клиентов.</w:t>
      </w:r>
    </w:p>
    <w:bookmarkEnd w:id="98"/>
    <w:bookmarkStart w:name="z106" w:id="99"/>
    <w:p>
      <w:pPr>
        <w:spacing w:after="0"/>
        <w:ind w:left="0"/>
        <w:jc w:val="both"/>
      </w:pPr>
      <w:r>
        <w:rPr>
          <w:rFonts w:ascii="Times New Roman"/>
          <w:b w:val="false"/>
          <w:i w:val="false"/>
          <w:color w:val="000000"/>
          <w:sz w:val="28"/>
        </w:rPr>
        <w:t>
      19. В рамках реализации программы управления рисками ОД/ФТ/ФРОМУ участником принимаются меры по классификации клиентов с учетом категорий и факторов риска, указанных в пунктах 12, 13, 14 и 15 Требований.</w:t>
      </w:r>
    </w:p>
    <w:bookmarkEnd w:id="99"/>
    <w:bookmarkStart w:name="z107" w:id="100"/>
    <w:p>
      <w:pPr>
        <w:spacing w:after="0"/>
        <w:ind w:left="0"/>
        <w:jc w:val="both"/>
      </w:pPr>
      <w:r>
        <w:rPr>
          <w:rFonts w:ascii="Times New Roman"/>
          <w:b w:val="false"/>
          <w:i w:val="false"/>
          <w:color w:val="000000"/>
          <w:sz w:val="28"/>
        </w:rPr>
        <w:t>
      20. В отношении клиентов, их представителей и (или) бенефициарных собственников, отнесенных к публичным должностным лицам, их супругам и близким родственникам, участник применяет усиленные меры надлежащей проверки, а также усиленный мониторинг операций и обновление сведений о таких клиентах с повышенной периодичностью.</w:t>
      </w:r>
    </w:p>
    <w:bookmarkEnd w:id="100"/>
    <w:bookmarkStart w:name="z108" w:id="101"/>
    <w:p>
      <w:pPr>
        <w:spacing w:after="0"/>
        <w:ind w:left="0"/>
        <w:jc w:val="left"/>
      </w:pPr>
      <w:r>
        <w:rPr>
          <w:rFonts w:ascii="Times New Roman"/>
          <w:b/>
          <w:i w:val="false"/>
          <w:color w:val="000000"/>
        </w:rPr>
        <w:t xml:space="preserve"> Глава 4. Программа идентификации клиентов (их представителей) и бенефициарных собственников</w:t>
      </w:r>
    </w:p>
    <w:bookmarkEnd w:id="101"/>
    <w:bookmarkStart w:name="z109" w:id="102"/>
    <w:p>
      <w:pPr>
        <w:spacing w:after="0"/>
        <w:ind w:left="0"/>
        <w:jc w:val="both"/>
      </w:pPr>
      <w:r>
        <w:rPr>
          <w:rFonts w:ascii="Times New Roman"/>
          <w:b w:val="false"/>
          <w:i w:val="false"/>
          <w:color w:val="000000"/>
          <w:sz w:val="28"/>
        </w:rPr>
        <w:t>
      21. В целях реализации требований Закона о ПОД/ФТ/ФРОМУ по надлежащей проверке клиента (его представителя) и бенефициарного собственника участники разрабатывают программу идентификации клиентов (их представителей) и бенефициарных собственников.</w:t>
      </w:r>
    </w:p>
    <w:bookmarkEnd w:id="102"/>
    <w:bookmarkStart w:name="z110" w:id="103"/>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участниками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а также получению и фиксированию иных предусмотренных Требованиями сведений о клиенте (его представителе) и бенефициарном собственнике.</w:t>
      </w:r>
    </w:p>
    <w:bookmarkEnd w:id="103"/>
    <w:bookmarkStart w:name="z111" w:id="104"/>
    <w:p>
      <w:pPr>
        <w:spacing w:after="0"/>
        <w:ind w:left="0"/>
        <w:jc w:val="both"/>
      </w:pPr>
      <w:r>
        <w:rPr>
          <w:rFonts w:ascii="Times New Roman"/>
          <w:b w:val="false"/>
          <w:i w:val="false"/>
          <w:color w:val="000000"/>
          <w:sz w:val="28"/>
        </w:rPr>
        <w:t xml:space="preserve">
      В зависимости от степени риска ОД/ФТ/ФРОМУ степень проводимых участником мероприятий выражается в применении упрощенных либо усиленных мер надлежащей проверки клиентов (их представителей) и бенефициарных собственников путем проведения упрощенной либо усиленной идентификации клиентов (их представителей), бенефициарных собственников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ПОД/ФТ/ФРОМУ.</w:t>
      </w:r>
    </w:p>
    <w:bookmarkEnd w:id="104"/>
    <w:bookmarkStart w:name="z112" w:id="105"/>
    <w:p>
      <w:pPr>
        <w:spacing w:after="0"/>
        <w:ind w:left="0"/>
        <w:jc w:val="both"/>
      </w:pPr>
      <w:r>
        <w:rPr>
          <w:rFonts w:ascii="Times New Roman"/>
          <w:b w:val="false"/>
          <w:i w:val="false"/>
          <w:color w:val="000000"/>
          <w:sz w:val="28"/>
        </w:rPr>
        <w:t>
      Идентификация бенефициарного собственника осуществляется путем принятия надлежащих (разумных) мер для проверки личности бенефициарного собственника клиента, в том числе путем запроса у клиента дополнительных сведений и (или) документов о конечном бенефициаром собственнике клиента.</w:t>
      </w:r>
    </w:p>
    <w:bookmarkEnd w:id="105"/>
    <w:bookmarkStart w:name="z113" w:id="106"/>
    <w:p>
      <w:pPr>
        <w:spacing w:after="0"/>
        <w:ind w:left="0"/>
        <w:jc w:val="both"/>
      </w:pPr>
      <w:r>
        <w:rPr>
          <w:rFonts w:ascii="Times New Roman"/>
          <w:b w:val="false"/>
          <w:i w:val="false"/>
          <w:color w:val="000000"/>
          <w:sz w:val="28"/>
        </w:rPr>
        <w:t>
      Если в результате принятия мер по надлежащей проверке, бенефициарный собственник клиента-юридического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w:t>
      </w:r>
    </w:p>
    <w:bookmarkEnd w:id="106"/>
    <w:bookmarkStart w:name="z114" w:id="107"/>
    <w:p>
      <w:pPr>
        <w:spacing w:after="0"/>
        <w:ind w:left="0"/>
        <w:jc w:val="both"/>
      </w:pPr>
      <w:r>
        <w:rPr>
          <w:rFonts w:ascii="Times New Roman"/>
          <w:b w:val="false"/>
          <w:i w:val="false"/>
          <w:color w:val="000000"/>
          <w:sz w:val="28"/>
        </w:rPr>
        <w:t>
      Участник осуществляет сбор и хранение информации об отправителе и получателе цифровых активов, включая сведения, позволяющие идентифицировать указанных лиц и (или) бенефициарных собственников.</w:t>
      </w:r>
    </w:p>
    <w:bookmarkEnd w:id="107"/>
    <w:bookmarkStart w:name="z115" w:id="108"/>
    <w:p>
      <w:pPr>
        <w:spacing w:after="0"/>
        <w:ind w:left="0"/>
        <w:jc w:val="both"/>
      </w:pPr>
      <w:r>
        <w:rPr>
          <w:rFonts w:ascii="Times New Roman"/>
          <w:b w:val="false"/>
          <w:i w:val="false"/>
          <w:color w:val="000000"/>
          <w:sz w:val="28"/>
        </w:rPr>
        <w:t>
      В случае отсутствия либо неполного предоставления информации, указанной в части четвертой настоящего пункта, участник приостанавливает проведение операции на срок не менее 48 (сорока восьми) часов до предоставления требуемой информации клиентом.</w:t>
      </w:r>
    </w:p>
    <w:bookmarkEnd w:id="108"/>
    <w:bookmarkStart w:name="z116" w:id="109"/>
    <w:p>
      <w:pPr>
        <w:spacing w:after="0"/>
        <w:ind w:left="0"/>
        <w:jc w:val="both"/>
      </w:pPr>
      <w:r>
        <w:rPr>
          <w:rFonts w:ascii="Times New Roman"/>
          <w:b w:val="false"/>
          <w:i w:val="false"/>
          <w:color w:val="000000"/>
          <w:sz w:val="28"/>
        </w:rPr>
        <w:t>
      В случае непредоставления клиентом информации, необходимой для идентификации отправителя и (или) получателя цифровых активов, по истечении установленного срока участник отказывает в проведении операции.</w:t>
      </w:r>
    </w:p>
    <w:bookmarkEnd w:id="109"/>
    <w:bookmarkStart w:name="z117" w:id="110"/>
    <w:p>
      <w:pPr>
        <w:spacing w:after="0"/>
        <w:ind w:left="0"/>
        <w:jc w:val="both"/>
      </w:pPr>
      <w:r>
        <w:rPr>
          <w:rFonts w:ascii="Times New Roman"/>
          <w:b w:val="false"/>
          <w:i w:val="false"/>
          <w:color w:val="000000"/>
          <w:sz w:val="28"/>
        </w:rPr>
        <w:t>
      Внутренними документами участника устанавливается порядок действий при отсутствии, неполноте либо противоречивости сведений об отправителе и (или) получателе цифровых активов, включая применение дополнительных мер надлежащей проверки и отказ в проведении операции в случаях, предусмотренных законодательством.</w:t>
      </w:r>
    </w:p>
    <w:bookmarkEnd w:id="110"/>
    <w:bookmarkStart w:name="z118" w:id="111"/>
    <w:p>
      <w:pPr>
        <w:spacing w:after="0"/>
        <w:ind w:left="0"/>
        <w:jc w:val="both"/>
      </w:pPr>
      <w:r>
        <w:rPr>
          <w:rFonts w:ascii="Times New Roman"/>
          <w:b w:val="false"/>
          <w:i w:val="false"/>
          <w:color w:val="000000"/>
          <w:sz w:val="28"/>
        </w:rPr>
        <w:t>
      22. Сведения, полученные в соответствии с пунктом 19 Требований, вносятся участниками в досье клиента, которое хранится участниками на протяжении всего периода деловых отношений с клиентом и не менее 5 (пяти) лет со дня их прекращения, с учетом возможности их использования в качестве доказательства в суде, чтобы они могли быть своевременно доступны Национальному Банку Республики Казахстан, а также иным государственным органам в соответствии с их компетенцией.</w:t>
      </w:r>
    </w:p>
    <w:bookmarkEnd w:id="111"/>
    <w:bookmarkStart w:name="z119" w:id="112"/>
    <w:p>
      <w:pPr>
        <w:spacing w:after="0"/>
        <w:ind w:left="0"/>
        <w:jc w:val="both"/>
      </w:pPr>
      <w:r>
        <w:rPr>
          <w:rFonts w:ascii="Times New Roman"/>
          <w:b w:val="false"/>
          <w:i w:val="false"/>
          <w:color w:val="000000"/>
          <w:sz w:val="28"/>
        </w:rPr>
        <w:t>
      Документы и сведения об операциях с деньгами и (или) цифровыми активами, в том числе подлежащих финансовому мониторингу, подозрительных операциях, а также результаты изучения сложных, необычно крупных и других необычных операций подлежат хранению участниками не менее 5 (пяти) лет после совершения операции.</w:t>
      </w:r>
    </w:p>
    <w:bookmarkEnd w:id="112"/>
    <w:bookmarkStart w:name="z120" w:id="113"/>
    <w:p>
      <w:pPr>
        <w:spacing w:after="0"/>
        <w:ind w:left="0"/>
        <w:jc w:val="both"/>
      </w:pPr>
      <w:r>
        <w:rPr>
          <w:rFonts w:ascii="Times New Roman"/>
          <w:b w:val="false"/>
          <w:i w:val="false"/>
          <w:color w:val="000000"/>
          <w:sz w:val="28"/>
        </w:rPr>
        <w:t>
      23. Программа идентификации клиента, его представителя и бенефициарного собственника включает, но не ограничивается:</w:t>
      </w:r>
    </w:p>
    <w:bookmarkEnd w:id="113"/>
    <w:bookmarkStart w:name="z121" w:id="114"/>
    <w:p>
      <w:pPr>
        <w:spacing w:after="0"/>
        <w:ind w:left="0"/>
        <w:jc w:val="both"/>
      </w:pPr>
      <w:r>
        <w:rPr>
          <w:rFonts w:ascii="Times New Roman"/>
          <w:b w:val="false"/>
          <w:i w:val="false"/>
          <w:color w:val="000000"/>
          <w:sz w:val="28"/>
        </w:rPr>
        <w:t>
      1) порядок принятия клиентов на обслуживание, включая процедуру, основания и сроки принятия участниками решения об отказе в установлении деловых отношений и (или) в проведении операции, а также прекращении деловых отношений;</w:t>
      </w:r>
    </w:p>
    <w:bookmarkEnd w:id="114"/>
    <w:bookmarkStart w:name="z122" w:id="115"/>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упрощенных и усиленных мер надлежащей проверки клиента;</w:t>
      </w:r>
    </w:p>
    <w:bookmarkEnd w:id="115"/>
    <w:bookmarkStart w:name="z123" w:id="116"/>
    <w:p>
      <w:pPr>
        <w:spacing w:after="0"/>
        <w:ind w:left="0"/>
        <w:jc w:val="both"/>
      </w:pPr>
      <w:r>
        <w:rPr>
          <w:rFonts w:ascii="Times New Roman"/>
          <w:b w:val="false"/>
          <w:i w:val="false"/>
          <w:color w:val="000000"/>
          <w:sz w:val="28"/>
        </w:rPr>
        <w:t>
      3) описание мер, направленных на выявление участниками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116"/>
    <w:bookmarkStart w:name="z124" w:id="117"/>
    <w:p>
      <w:pPr>
        <w:spacing w:after="0"/>
        <w:ind w:left="0"/>
        <w:jc w:val="both"/>
      </w:pPr>
      <w:r>
        <w:rPr>
          <w:rFonts w:ascii="Times New Roman"/>
          <w:b w:val="false"/>
          <w:i w:val="false"/>
          <w:color w:val="000000"/>
          <w:sz w:val="28"/>
        </w:rPr>
        <w:t>
      4) порядок проверки клиента (его представителя) и бенефициарного собственника на наличие в Перечне и Перечне ФРОМУ.</w:t>
      </w:r>
    </w:p>
    <w:bookmarkEnd w:id="117"/>
    <w:bookmarkStart w:name="z125" w:id="118"/>
    <w:p>
      <w:pPr>
        <w:spacing w:after="0"/>
        <w:ind w:left="0"/>
        <w:jc w:val="both"/>
      </w:pPr>
      <w:r>
        <w:rPr>
          <w:rFonts w:ascii="Times New Roman"/>
          <w:b w:val="false"/>
          <w:i w:val="false"/>
          <w:color w:val="000000"/>
          <w:sz w:val="28"/>
        </w:rPr>
        <w:t>
      5) процедуру обеспечения прозрачности переводов цифровых активов, включая порядок получения, передачи и хранения сведений об отправителе и получателе цифровых активов при осуществлении операций с цифровыми активами, а также порядок действий работников участника при отсутствии, неполноте либо противоречивости таких сведений.</w:t>
      </w:r>
    </w:p>
    <w:bookmarkEnd w:id="118"/>
    <w:bookmarkStart w:name="z126" w:id="119"/>
    <w:p>
      <w:pPr>
        <w:spacing w:after="0"/>
        <w:ind w:left="0"/>
        <w:jc w:val="both"/>
      </w:pPr>
      <w:r>
        <w:rPr>
          <w:rFonts w:ascii="Times New Roman"/>
          <w:b w:val="false"/>
          <w:i w:val="false"/>
          <w:color w:val="000000"/>
          <w:sz w:val="28"/>
        </w:rPr>
        <w:t>
      В рамках указанной процедуры участник обеспечивает получение и фиксирование сведений об отправителе и получателе цифровых активов, включая, но не ограничиваясь, следующими:</w:t>
      </w:r>
    </w:p>
    <w:bookmarkEnd w:id="119"/>
    <w:bookmarkStart w:name="z127" w:id="120"/>
    <w:p>
      <w:pPr>
        <w:spacing w:after="0"/>
        <w:ind w:left="0"/>
        <w:jc w:val="both"/>
      </w:pPr>
      <w:r>
        <w:rPr>
          <w:rFonts w:ascii="Times New Roman"/>
          <w:b w:val="false"/>
          <w:i w:val="false"/>
          <w:color w:val="000000"/>
          <w:sz w:val="28"/>
        </w:rPr>
        <w:t>
      сведения об операции, включая вид цифрового актива, сумму, дату и время совершения операции, используемый блокчейн (распределенный реестр) и иные сведения, предусмотренные внутренними документами участника.</w:t>
      </w:r>
    </w:p>
    <w:bookmarkEnd w:id="120"/>
    <w:bookmarkStart w:name="z128" w:id="121"/>
    <w:p>
      <w:pPr>
        <w:spacing w:after="0"/>
        <w:ind w:left="0"/>
        <w:jc w:val="both"/>
      </w:pPr>
      <w:r>
        <w:rPr>
          <w:rFonts w:ascii="Times New Roman"/>
          <w:b w:val="false"/>
          <w:i w:val="false"/>
          <w:color w:val="000000"/>
          <w:sz w:val="28"/>
        </w:rPr>
        <w:t xml:space="preserve">
      об отправителе цифровых активов: </w:t>
      </w:r>
    </w:p>
    <w:bookmarkEnd w:id="121"/>
    <w:bookmarkStart w:name="z129" w:id="122"/>
    <w:p>
      <w:pPr>
        <w:spacing w:after="0"/>
        <w:ind w:left="0"/>
        <w:jc w:val="both"/>
      </w:pPr>
      <w:r>
        <w:rPr>
          <w:rFonts w:ascii="Times New Roman"/>
          <w:b w:val="false"/>
          <w:i w:val="false"/>
          <w:color w:val="000000"/>
          <w:sz w:val="28"/>
        </w:rPr>
        <w:t>
      фамилия, имя, отчество (при его наличии) либо наименование юридического лица;</w:t>
      </w:r>
    </w:p>
    <w:bookmarkEnd w:id="122"/>
    <w:bookmarkStart w:name="z130" w:id="123"/>
    <w:p>
      <w:pPr>
        <w:spacing w:after="0"/>
        <w:ind w:left="0"/>
        <w:jc w:val="both"/>
      </w:pPr>
      <w:r>
        <w:rPr>
          <w:rFonts w:ascii="Times New Roman"/>
          <w:b w:val="false"/>
          <w:i w:val="false"/>
          <w:color w:val="000000"/>
          <w:sz w:val="28"/>
        </w:rPr>
        <w:t>
      сведения, позволяющие идентифицировать клиента;</w:t>
      </w:r>
    </w:p>
    <w:bookmarkEnd w:id="123"/>
    <w:bookmarkStart w:name="z131" w:id="124"/>
    <w:p>
      <w:pPr>
        <w:spacing w:after="0"/>
        <w:ind w:left="0"/>
        <w:jc w:val="both"/>
      </w:pPr>
      <w:r>
        <w:rPr>
          <w:rFonts w:ascii="Times New Roman"/>
          <w:b w:val="false"/>
          <w:i w:val="false"/>
          <w:color w:val="000000"/>
          <w:sz w:val="28"/>
        </w:rPr>
        <w:t>
      адрес кошелька цифровых активов либо иной уникальный идентификатор, используемый для осуществления операции;</w:t>
      </w:r>
    </w:p>
    <w:bookmarkEnd w:id="124"/>
    <w:bookmarkStart w:name="z132" w:id="125"/>
    <w:p>
      <w:pPr>
        <w:spacing w:after="0"/>
        <w:ind w:left="0"/>
        <w:jc w:val="both"/>
      </w:pPr>
      <w:r>
        <w:rPr>
          <w:rFonts w:ascii="Times New Roman"/>
          <w:b w:val="false"/>
          <w:i w:val="false"/>
          <w:color w:val="000000"/>
          <w:sz w:val="28"/>
        </w:rPr>
        <w:t>
      при наличии – сведения о провайдере услуг цифровых активов, обслуживающем отправителя;</w:t>
      </w:r>
    </w:p>
    <w:bookmarkEnd w:id="125"/>
    <w:bookmarkStart w:name="z133" w:id="126"/>
    <w:p>
      <w:pPr>
        <w:spacing w:after="0"/>
        <w:ind w:left="0"/>
        <w:jc w:val="both"/>
      </w:pPr>
      <w:r>
        <w:rPr>
          <w:rFonts w:ascii="Times New Roman"/>
          <w:b w:val="false"/>
          <w:i w:val="false"/>
          <w:color w:val="000000"/>
          <w:sz w:val="28"/>
        </w:rPr>
        <w:t xml:space="preserve">
      о получателе цифровых активов: </w:t>
      </w:r>
    </w:p>
    <w:bookmarkEnd w:id="126"/>
    <w:bookmarkStart w:name="z134" w:id="127"/>
    <w:p>
      <w:pPr>
        <w:spacing w:after="0"/>
        <w:ind w:left="0"/>
        <w:jc w:val="both"/>
      </w:pPr>
      <w:r>
        <w:rPr>
          <w:rFonts w:ascii="Times New Roman"/>
          <w:b w:val="false"/>
          <w:i w:val="false"/>
          <w:color w:val="000000"/>
          <w:sz w:val="28"/>
        </w:rPr>
        <w:t>
      фамилия, имя, отчество (при его наличии) либо наименование юридического лица;</w:t>
      </w:r>
    </w:p>
    <w:bookmarkEnd w:id="127"/>
    <w:bookmarkStart w:name="z135" w:id="128"/>
    <w:p>
      <w:pPr>
        <w:spacing w:after="0"/>
        <w:ind w:left="0"/>
        <w:jc w:val="both"/>
      </w:pPr>
      <w:r>
        <w:rPr>
          <w:rFonts w:ascii="Times New Roman"/>
          <w:b w:val="false"/>
          <w:i w:val="false"/>
          <w:color w:val="000000"/>
          <w:sz w:val="28"/>
        </w:rPr>
        <w:t>
      адрес кошелька цифровых активов либо иной уникальный идентификатор получателя;</w:t>
      </w:r>
    </w:p>
    <w:bookmarkEnd w:id="128"/>
    <w:bookmarkStart w:name="z136" w:id="129"/>
    <w:p>
      <w:pPr>
        <w:spacing w:after="0"/>
        <w:ind w:left="0"/>
        <w:jc w:val="both"/>
      </w:pPr>
      <w:r>
        <w:rPr>
          <w:rFonts w:ascii="Times New Roman"/>
          <w:b w:val="false"/>
          <w:i w:val="false"/>
          <w:color w:val="000000"/>
          <w:sz w:val="28"/>
        </w:rPr>
        <w:t>
      при наличии – сведения о провайдере услуг цифровых активов, обслуживающем получателя.</w:t>
      </w:r>
    </w:p>
    <w:bookmarkEnd w:id="129"/>
    <w:bookmarkStart w:name="z137" w:id="130"/>
    <w:p>
      <w:pPr>
        <w:spacing w:after="0"/>
        <w:ind w:left="0"/>
        <w:jc w:val="both"/>
      </w:pPr>
      <w:r>
        <w:rPr>
          <w:rFonts w:ascii="Times New Roman"/>
          <w:b w:val="false"/>
          <w:i w:val="false"/>
          <w:color w:val="000000"/>
          <w:sz w:val="28"/>
        </w:rPr>
        <w:t>
      6) особенности применения мер надлежащей проверки при переводе цифровых активов на адреса кошельков цифровых активов, не обслуживаемых провайдерами услуг цифровых активов, либо при получении цифровых активов с таких адресов, включая риск-ориентированные меры по установлению и проверке сведений о владельце (бенефициарном собственнике) такого кошелька цифрового актива, проведение усиленной идентификации и усиленного мониторинга операций в случаях, предусмотренных внутренними документами участника.</w:t>
      </w:r>
    </w:p>
    <w:bookmarkEnd w:id="130"/>
    <w:bookmarkStart w:name="z138" w:id="131"/>
    <w:p>
      <w:pPr>
        <w:spacing w:after="0"/>
        <w:ind w:left="0"/>
        <w:jc w:val="both"/>
      </w:pPr>
      <w:r>
        <w:rPr>
          <w:rFonts w:ascii="Times New Roman"/>
          <w:b w:val="false"/>
          <w:i w:val="false"/>
          <w:color w:val="000000"/>
          <w:sz w:val="28"/>
        </w:rPr>
        <w:t xml:space="preserve">
      24. С учетом требований пунктов 2 и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участник проводит идентификацию клиента (его представителя) и бенефициарного собственника, а также устанавливает предполагаемую цель деловых отношений или разовой операции (сделки) в случаях:</w:t>
      </w:r>
    </w:p>
    <w:bookmarkEnd w:id="131"/>
    <w:bookmarkStart w:name="z139" w:id="132"/>
    <w:p>
      <w:pPr>
        <w:spacing w:after="0"/>
        <w:ind w:left="0"/>
        <w:jc w:val="both"/>
      </w:pPr>
      <w:r>
        <w:rPr>
          <w:rFonts w:ascii="Times New Roman"/>
          <w:b w:val="false"/>
          <w:i w:val="false"/>
          <w:color w:val="000000"/>
          <w:sz w:val="28"/>
        </w:rPr>
        <w:t>
      1) установления деловых отношений с клиентом, за исключением операций с цифровыми активами на сумму, не превышающую пятьсот тысяч тенге;</w:t>
      </w:r>
    </w:p>
    <w:bookmarkEnd w:id="132"/>
    <w:bookmarkStart w:name="z140" w:id="133"/>
    <w:p>
      <w:pPr>
        <w:spacing w:after="0"/>
        <w:ind w:left="0"/>
        <w:jc w:val="both"/>
      </w:pPr>
      <w:r>
        <w:rPr>
          <w:rFonts w:ascii="Times New Roman"/>
          <w:b w:val="false"/>
          <w:i w:val="false"/>
          <w:color w:val="000000"/>
          <w:sz w:val="28"/>
        </w:rPr>
        <w:t>
      2) совершения клиентом разовой операции (сделки) на сумму, превышающую пятьсот тысяч тенге;</w:t>
      </w:r>
    </w:p>
    <w:bookmarkEnd w:id="133"/>
    <w:bookmarkStart w:name="z141" w:id="134"/>
    <w:p>
      <w:pPr>
        <w:spacing w:after="0"/>
        <w:ind w:left="0"/>
        <w:jc w:val="both"/>
      </w:pPr>
      <w:r>
        <w:rPr>
          <w:rFonts w:ascii="Times New Roman"/>
          <w:b w:val="false"/>
          <w:i w:val="false"/>
          <w:color w:val="000000"/>
          <w:sz w:val="28"/>
        </w:rPr>
        <w:t>
      3) совершения клиентом пороговой операции (сделки);</w:t>
      </w:r>
    </w:p>
    <w:bookmarkEnd w:id="134"/>
    <w:bookmarkStart w:name="z142" w:id="135"/>
    <w:p>
      <w:pPr>
        <w:spacing w:after="0"/>
        <w:ind w:left="0"/>
        <w:jc w:val="both"/>
      </w:pPr>
      <w:r>
        <w:rPr>
          <w:rFonts w:ascii="Times New Roman"/>
          <w:b w:val="false"/>
          <w:i w:val="false"/>
          <w:color w:val="000000"/>
          <w:sz w:val="28"/>
        </w:rPr>
        <w:t>
      4) выявления подозрительной операции (сделки) клиента;</w:t>
      </w:r>
    </w:p>
    <w:bookmarkEnd w:id="135"/>
    <w:bookmarkStart w:name="z143" w:id="136"/>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физических и юридических лицах.</w:t>
      </w:r>
    </w:p>
    <w:bookmarkEnd w:id="136"/>
    <w:bookmarkStart w:name="z144" w:id="137"/>
    <w:p>
      <w:pPr>
        <w:spacing w:after="0"/>
        <w:ind w:left="0"/>
        <w:jc w:val="both"/>
      </w:pPr>
      <w:r>
        <w:rPr>
          <w:rFonts w:ascii="Times New Roman"/>
          <w:b w:val="false"/>
          <w:i w:val="false"/>
          <w:color w:val="000000"/>
          <w:sz w:val="28"/>
        </w:rPr>
        <w:t xml:space="preserve">
      25. Упрощенная идентификация проводится участником с учетом требований пункта 7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при:</w:t>
      </w:r>
    </w:p>
    <w:bookmarkEnd w:id="137"/>
    <w:bookmarkStart w:name="z145" w:id="138"/>
    <w:p>
      <w:pPr>
        <w:spacing w:after="0"/>
        <w:ind w:left="0"/>
        <w:jc w:val="both"/>
      </w:pPr>
      <w:r>
        <w:rPr>
          <w:rFonts w:ascii="Times New Roman"/>
          <w:b w:val="false"/>
          <w:i w:val="false"/>
          <w:color w:val="000000"/>
          <w:sz w:val="28"/>
        </w:rPr>
        <w:t>
      1) установлении деловых отношений с провайдерами услуг цифровых активов, за исключением провайдеров услуг цифровых активов - участников Международного финансового центра "Астана", эмитентами цифровых финансовых активов, цифровыми майнерами, цифровыми майнинговыми пулами, банками второго уровня Республики Казахстан (за исключением филиалов иностранных банков), организациями, осуществляющими отдельные виды банковских операций, страховыми (перестраховочными) организациями, профессиональными участниками рынка ценных бумаг - резидентами Республики Казахстан;</w:t>
      </w:r>
    </w:p>
    <w:bookmarkEnd w:id="138"/>
    <w:bookmarkStart w:name="z146" w:id="139"/>
    <w:p>
      <w:pPr>
        <w:spacing w:after="0"/>
        <w:ind w:left="0"/>
        <w:jc w:val="both"/>
      </w:pPr>
      <w:r>
        <w:rPr>
          <w:rFonts w:ascii="Times New Roman"/>
          <w:b w:val="false"/>
          <w:i w:val="false"/>
          <w:color w:val="000000"/>
          <w:sz w:val="28"/>
        </w:rPr>
        <w:t>
      2) присвоении клиенту пониженного уровня риска ОД/ФТ/ФРОМУ.</w:t>
      </w:r>
    </w:p>
    <w:bookmarkEnd w:id="139"/>
    <w:bookmarkStart w:name="z147" w:id="140"/>
    <w:p>
      <w:pPr>
        <w:spacing w:after="0"/>
        <w:ind w:left="0"/>
        <w:jc w:val="both"/>
      </w:pPr>
      <w:r>
        <w:rPr>
          <w:rFonts w:ascii="Times New Roman"/>
          <w:b w:val="false"/>
          <w:i w:val="false"/>
          <w:color w:val="000000"/>
          <w:sz w:val="28"/>
        </w:rPr>
        <w:t>
      26. Усиленная идентификация проводится участником:</w:t>
      </w:r>
    </w:p>
    <w:bookmarkEnd w:id="140"/>
    <w:bookmarkStart w:name="z148" w:id="141"/>
    <w:p>
      <w:pPr>
        <w:spacing w:after="0"/>
        <w:ind w:left="0"/>
        <w:jc w:val="both"/>
      </w:pPr>
      <w:r>
        <w:rPr>
          <w:rFonts w:ascii="Times New Roman"/>
          <w:b w:val="false"/>
          <w:i w:val="false"/>
          <w:color w:val="000000"/>
          <w:sz w:val="28"/>
        </w:rPr>
        <w:t>
      1) при присвоении клиенту высокого уровня риска;</w:t>
      </w:r>
    </w:p>
    <w:bookmarkEnd w:id="141"/>
    <w:bookmarkStart w:name="z149" w:id="142"/>
    <w:p>
      <w:pPr>
        <w:spacing w:after="0"/>
        <w:ind w:left="0"/>
        <w:jc w:val="both"/>
      </w:pPr>
      <w:r>
        <w:rPr>
          <w:rFonts w:ascii="Times New Roman"/>
          <w:b w:val="false"/>
          <w:i w:val="false"/>
          <w:color w:val="000000"/>
          <w:sz w:val="28"/>
        </w:rPr>
        <w:t>
      2) при выявлении в процессе мониторинга и изучения операций клиента подозрительной операции (сделки) либо попытки ее совершения, за исключением ситуаций, при которых усиленная идентификация приведет к его непреднамеренному информированию о направлении сообщения о такой операции в уполномоченный орган;</w:t>
      </w:r>
    </w:p>
    <w:bookmarkEnd w:id="142"/>
    <w:bookmarkStart w:name="z150" w:id="143"/>
    <w:p>
      <w:pPr>
        <w:spacing w:after="0"/>
        <w:ind w:left="0"/>
        <w:jc w:val="both"/>
      </w:pPr>
      <w:r>
        <w:rPr>
          <w:rFonts w:ascii="Times New Roman"/>
          <w:b w:val="false"/>
          <w:i w:val="false"/>
          <w:color w:val="000000"/>
          <w:sz w:val="28"/>
        </w:rPr>
        <w:t xml:space="preserve">
      3) при проведении операций на сумму, превышающую порог,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ПОД/ФТ/ФРОМУ;</w:t>
      </w:r>
    </w:p>
    <w:bookmarkEnd w:id="143"/>
    <w:bookmarkStart w:name="z151" w:id="144"/>
    <w:p>
      <w:pPr>
        <w:spacing w:after="0"/>
        <w:ind w:left="0"/>
        <w:jc w:val="both"/>
      </w:pPr>
      <w:r>
        <w:rPr>
          <w:rFonts w:ascii="Times New Roman"/>
          <w:b w:val="false"/>
          <w:i w:val="false"/>
          <w:color w:val="000000"/>
          <w:sz w:val="28"/>
        </w:rPr>
        <w:t>
      4) при наличии сомнений в достоверности представленных клиентом сведений;</w:t>
      </w:r>
    </w:p>
    <w:bookmarkEnd w:id="144"/>
    <w:bookmarkStart w:name="z152" w:id="145"/>
    <w:p>
      <w:pPr>
        <w:spacing w:after="0"/>
        <w:ind w:left="0"/>
        <w:jc w:val="both"/>
      </w:pPr>
      <w:r>
        <w:rPr>
          <w:rFonts w:ascii="Times New Roman"/>
          <w:b w:val="false"/>
          <w:i w:val="false"/>
          <w:color w:val="000000"/>
          <w:sz w:val="28"/>
        </w:rPr>
        <w:t>
      5) в случаях, установленных внутренними документами участника, в том числе по решению ответственного работника.</w:t>
      </w:r>
    </w:p>
    <w:bookmarkEnd w:id="145"/>
    <w:bookmarkStart w:name="z153" w:id="146"/>
    <w:p>
      <w:pPr>
        <w:spacing w:after="0"/>
        <w:ind w:left="0"/>
        <w:jc w:val="both"/>
      </w:pPr>
      <w:r>
        <w:rPr>
          <w:rFonts w:ascii="Times New Roman"/>
          <w:b w:val="false"/>
          <w:i w:val="false"/>
          <w:color w:val="000000"/>
          <w:sz w:val="28"/>
        </w:rPr>
        <w:t>
      27. Мероприятия по выявлению бенефициарного собственника клиента, установлению структуры его собственности и управления проводятся на основании учредительных документов и реестра держателей акций (реестра участников) такого клиента, Реестра бенефициарных собственников юридических лиц (далее – Реестр БС), размещенного на интернет-ресурсе уполномоченного органа по финансовому мониторингу либо сведений, полученных из других источников.</w:t>
      </w:r>
    </w:p>
    <w:bookmarkEnd w:id="146"/>
    <w:bookmarkStart w:name="z154" w:id="147"/>
    <w:p>
      <w:pPr>
        <w:spacing w:after="0"/>
        <w:ind w:left="0"/>
        <w:jc w:val="both"/>
      </w:pPr>
      <w:r>
        <w:rPr>
          <w:rFonts w:ascii="Times New Roman"/>
          <w:b w:val="false"/>
          <w:i w:val="false"/>
          <w:color w:val="000000"/>
          <w:sz w:val="28"/>
        </w:rPr>
        <w:t>
      28. Сведения о выявленных бенефициарных собственниках вносятся в Реестр БС.</w:t>
      </w:r>
    </w:p>
    <w:bookmarkEnd w:id="147"/>
    <w:bookmarkStart w:name="z155" w:id="148"/>
    <w:p>
      <w:pPr>
        <w:spacing w:after="0"/>
        <w:ind w:left="0"/>
        <w:jc w:val="left"/>
      </w:pPr>
      <w:r>
        <w:rPr>
          <w:rFonts w:ascii="Times New Roman"/>
          <w:b/>
          <w:i w:val="false"/>
          <w:color w:val="000000"/>
        </w:rPr>
        <w:t xml:space="preserve"> Глава 5. Программа мониторинга и изучения операций клиентов</w:t>
      </w:r>
    </w:p>
    <w:bookmarkEnd w:id="148"/>
    <w:bookmarkStart w:name="z156" w:id="149"/>
    <w:p>
      <w:pPr>
        <w:spacing w:after="0"/>
        <w:ind w:left="0"/>
        <w:jc w:val="both"/>
      </w:pPr>
      <w:r>
        <w:rPr>
          <w:rFonts w:ascii="Times New Roman"/>
          <w:b w:val="false"/>
          <w:i w:val="false"/>
          <w:color w:val="000000"/>
          <w:sz w:val="28"/>
        </w:rPr>
        <w:t>
      29. В целях реализации требований Закона о ПОД/ФТ/ФРОМУ по надлежащей проверке клиента, а также по выявлению и направлению в уполномоченный орган сообщений о пороговых и подозрительных операциях, участник разрабатывает программу мониторинга и изучения операций клиентов.</w:t>
      </w:r>
    </w:p>
    <w:bookmarkEnd w:id="149"/>
    <w:bookmarkStart w:name="z157" w:id="150"/>
    <w:p>
      <w:pPr>
        <w:spacing w:after="0"/>
        <w:ind w:left="0"/>
        <w:jc w:val="both"/>
      </w:pPr>
      <w:r>
        <w:rPr>
          <w:rFonts w:ascii="Times New Roman"/>
          <w:b w:val="false"/>
          <w:i w:val="false"/>
          <w:color w:val="000000"/>
          <w:sz w:val="28"/>
        </w:rPr>
        <w:t>
      30. В рамках программы мониторинга и изучения операций клиентов участником проводятся мероприятия по обновлению и (или) получению дополнительных сведений о клиентах (их представителях) и бенефициарных собственниках, включая сведения об источнике финансирования совершаемых клиентами операций, а также по изучению операций клиентов и выявлению пороговых, необычных и подозрительных операций.</w:t>
      </w:r>
    </w:p>
    <w:bookmarkEnd w:id="150"/>
    <w:bookmarkStart w:name="z158" w:id="151"/>
    <w:p>
      <w:pPr>
        <w:spacing w:after="0"/>
        <w:ind w:left="0"/>
        <w:jc w:val="both"/>
      </w:pPr>
      <w:r>
        <w:rPr>
          <w:rFonts w:ascii="Times New Roman"/>
          <w:b w:val="false"/>
          <w:i w:val="false"/>
          <w:color w:val="000000"/>
          <w:sz w:val="28"/>
        </w:rPr>
        <w:t>
      31. Программа мониторинга и изучения операций клиентов включает, но не ограничивается:</w:t>
      </w:r>
    </w:p>
    <w:bookmarkEnd w:id="151"/>
    <w:bookmarkStart w:name="z159" w:id="152"/>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участниками самостоятельно;</w:t>
      </w:r>
    </w:p>
    <w:bookmarkEnd w:id="152"/>
    <w:bookmarkStart w:name="z160" w:id="153"/>
    <w:p>
      <w:pPr>
        <w:spacing w:after="0"/>
        <w:ind w:left="0"/>
        <w:jc w:val="both"/>
      </w:pPr>
      <w:r>
        <w:rPr>
          <w:rFonts w:ascii="Times New Roman"/>
          <w:b w:val="false"/>
          <w:i w:val="false"/>
          <w:color w:val="000000"/>
          <w:sz w:val="28"/>
        </w:rPr>
        <w:t>
      2) порядок, основания и срок принятия ответственным работником решения о квалификации операции клиента;</w:t>
      </w:r>
    </w:p>
    <w:bookmarkEnd w:id="153"/>
    <w:bookmarkStart w:name="z161" w:id="154"/>
    <w:p>
      <w:pPr>
        <w:spacing w:after="0"/>
        <w:ind w:left="0"/>
        <w:jc w:val="both"/>
      </w:pPr>
      <w:r>
        <w:rPr>
          <w:rFonts w:ascii="Times New Roman"/>
          <w:b w:val="false"/>
          <w:i w:val="false"/>
          <w:color w:val="000000"/>
          <w:sz w:val="28"/>
        </w:rPr>
        <w:t>
      3) порядок представления в уполномоченный орган сообщений о пороговых и подозрительных операциях.</w:t>
      </w:r>
    </w:p>
    <w:bookmarkEnd w:id="154"/>
    <w:bookmarkStart w:name="z162" w:id="155"/>
    <w:p>
      <w:pPr>
        <w:spacing w:after="0"/>
        <w:ind w:left="0"/>
        <w:jc w:val="both"/>
      </w:pPr>
      <w:r>
        <w:rPr>
          <w:rFonts w:ascii="Times New Roman"/>
          <w:b w:val="false"/>
          <w:i w:val="false"/>
          <w:color w:val="000000"/>
          <w:sz w:val="28"/>
        </w:rPr>
        <w:t>
      32. При возникновении сомнений в части правомерности квалификации операции в качестве пороговой, а также при выявлении необычной или подозрительной операции, работник участника, выявивший указанную операцию, направляет сообщение о такой операции ответственному работнику.</w:t>
      </w:r>
    </w:p>
    <w:bookmarkEnd w:id="155"/>
    <w:bookmarkStart w:name="z163" w:id="156"/>
    <w:p>
      <w:pPr>
        <w:spacing w:after="0"/>
        <w:ind w:left="0"/>
        <w:jc w:val="left"/>
      </w:pPr>
      <w:r>
        <w:rPr>
          <w:rFonts w:ascii="Times New Roman"/>
          <w:b/>
          <w:i w:val="false"/>
          <w:color w:val="000000"/>
        </w:rPr>
        <w:t xml:space="preserve"> Глава 6. Программа подготовки и обучения работников участника по вопросам противодействия ОД/ФТ/ФРОМУ</w:t>
      </w:r>
    </w:p>
    <w:bookmarkEnd w:id="156"/>
    <w:bookmarkStart w:name="z164" w:id="157"/>
    <w:p>
      <w:pPr>
        <w:spacing w:after="0"/>
        <w:ind w:left="0"/>
        <w:jc w:val="both"/>
      </w:pPr>
      <w:r>
        <w:rPr>
          <w:rFonts w:ascii="Times New Roman"/>
          <w:b w:val="false"/>
          <w:i w:val="false"/>
          <w:color w:val="000000"/>
          <w:sz w:val="28"/>
        </w:rPr>
        <w:t>
      33. Целью Программы подготовки и обучения работников участника по вопросам противодействия ОД/ФТ/ФРОМУ (далее – программа обучения) является получение работниками участника знаний и формирование навыков, необходимых для исполнения ими требований законодательства Республики Казахстан о противодействии ОД/ФТ/ФРОМУ, а также правил внутреннего контроля и иных внутренних документов участника в сфере противодействия ОД/ФТ/ФРОМУ.</w:t>
      </w:r>
    </w:p>
    <w:bookmarkEnd w:id="157"/>
    <w:bookmarkStart w:name="z165" w:id="158"/>
    <w:p>
      <w:pPr>
        <w:spacing w:after="0"/>
        <w:ind w:left="0"/>
        <w:jc w:val="both"/>
      </w:pPr>
      <w:r>
        <w:rPr>
          <w:rFonts w:ascii="Times New Roman"/>
          <w:b w:val="false"/>
          <w:i w:val="false"/>
          <w:color w:val="000000"/>
          <w:sz w:val="28"/>
        </w:rPr>
        <w:t xml:space="preserve">
      34. Программа обучения разрабатывается в соответствии с требованиями к субъектам финансового мониторинга по подготовке и обучению в сфере противодействия ОД/ФТ/ФРОМУ,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11 Закона о ПОД/ФТ/ФРОМУ.</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