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2a1b" w14:textId="03b2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10 апреля 2026 года № 62. Зарегистрировано в Министерстве юстиции Республики Казахстан 13 апреля 2026 года № 38402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p>
    <w:bookmarkStart w:name="z5" w:id="0"/>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Требования).</w:t>
      </w:r>
    </w:p>
    <w:bookmarkEnd w:id="1"/>
    <w:bookmarkStart w:name="z7"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w:t>
      </w:r>
    </w:p>
    <w:bookmarkEnd w:id="7"/>
    <w:bookmarkStart w:name="z13" w:id="8"/>
    <w:p>
      <w:pPr>
        <w:spacing w:after="0"/>
        <w:ind w:left="0"/>
        <w:jc w:val="both"/>
      </w:pPr>
      <w:r>
        <w:rPr>
          <w:rFonts w:ascii="Times New Roman"/>
          <w:b w:val="false"/>
          <w:i w:val="false"/>
          <w:color w:val="000000"/>
          <w:sz w:val="28"/>
        </w:rPr>
        <w:t>
      Приостановить до 12 июля 2026 года действие: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8</w:t>
      </w:r>
      <w:r>
        <w:rPr>
          <w:rFonts w:ascii="Times New Roman"/>
          <w:b w:val="false"/>
          <w:i w:val="false"/>
          <w:color w:val="000000"/>
          <w:sz w:val="28"/>
        </w:rPr>
        <w:t xml:space="preserve"> Требований, установив, что в период приостановления данный пункт действует в следующей редакции:</w:t>
      </w:r>
    </w:p>
    <w:bookmarkStart w:name="z15" w:id="9"/>
    <w:p>
      <w:pPr>
        <w:spacing w:after="0"/>
        <w:ind w:left="0"/>
        <w:jc w:val="both"/>
      </w:pPr>
      <w:r>
        <w:rPr>
          <w:rFonts w:ascii="Times New Roman"/>
          <w:b w:val="false"/>
          <w:i w:val="false"/>
          <w:color w:val="000000"/>
          <w:sz w:val="28"/>
        </w:rPr>
        <w:t>
      "8. Для выполнения возложенных функций ответственный работник наделяется следующими полномочиями, включая, но не ограничиваясь:</w:t>
      </w:r>
    </w:p>
    <w:bookmarkEnd w:id="9"/>
    <w:bookmarkStart w:name="z16" w:id="10"/>
    <w:p>
      <w:pPr>
        <w:spacing w:after="0"/>
        <w:ind w:left="0"/>
        <w:jc w:val="both"/>
      </w:pPr>
      <w:r>
        <w:rPr>
          <w:rFonts w:ascii="Times New Roman"/>
          <w:b w:val="false"/>
          <w:i w:val="false"/>
          <w:color w:val="000000"/>
          <w:sz w:val="28"/>
        </w:rPr>
        <w:t>
      1) получение доступа ко всем помещениям эмитента,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эмитента;</w:t>
      </w:r>
    </w:p>
    <w:bookmarkEnd w:id="10"/>
    <w:bookmarkStart w:name="z17" w:id="11"/>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10</w:t>
      </w:r>
      <w:r>
        <w:rPr>
          <w:rFonts w:ascii="Times New Roman"/>
          <w:b w:val="false"/>
          <w:i w:val="false"/>
          <w:color w:val="000000"/>
          <w:sz w:val="28"/>
        </w:rPr>
        <w:t xml:space="preserve"> Требований, установив, что в период приостановления данный пункт действует в следующей редакции:</w:t>
      </w:r>
    </w:p>
    <w:bookmarkStart w:name="z19" w:id="12"/>
    <w:p>
      <w:pPr>
        <w:spacing w:after="0"/>
        <w:ind w:left="0"/>
        <w:jc w:val="both"/>
      </w:pPr>
      <w:r>
        <w:rPr>
          <w:rFonts w:ascii="Times New Roman"/>
          <w:b w:val="false"/>
          <w:i w:val="false"/>
          <w:color w:val="000000"/>
          <w:sz w:val="28"/>
        </w:rPr>
        <w:t>
      "10. Эмитент для автоматизации процессов по вопросам внутреннего контроля в целях противодействия ОД/ФТ/ФРОМУ использует автоматизированные информационные системы, соответствующие требованиям внутреннего контроля эмитентов.".</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10 апреля 2026 года № 62</w:t>
            </w:r>
          </w:p>
        </w:tc>
      </w:tr>
    </w:tbl>
    <w:bookmarkStart w:name="z23" w:id="14"/>
    <w:p>
      <w:pPr>
        <w:spacing w:after="0"/>
        <w:ind w:left="0"/>
        <w:jc w:val="left"/>
      </w:pPr>
      <w:r>
        <w:rPr>
          <w:rFonts w:ascii="Times New Roman"/>
          <w:b/>
          <w:i w:val="false"/>
          <w:color w:val="000000"/>
        </w:rPr>
        <w:t xml:space="preserve"> Требования</w:t>
      </w:r>
      <w:r>
        <w:br/>
      </w:r>
      <w:r>
        <w:rPr>
          <w:rFonts w:ascii="Times New Roman"/>
          <w:b/>
          <w:i w:val="false"/>
          <w:color w:val="000000"/>
        </w:rPr>
        <w:t>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6"/>
    <w:bookmarkStart w:name="z26" w:id="17"/>
    <w:p>
      <w:pPr>
        <w:spacing w:after="0"/>
        <w:ind w:left="0"/>
        <w:jc w:val="both"/>
      </w:pPr>
      <w:r>
        <w:rPr>
          <w:rFonts w:ascii="Times New Roman"/>
          <w:b w:val="false"/>
          <w:i w:val="false"/>
          <w:color w:val="000000"/>
          <w:sz w:val="28"/>
        </w:rPr>
        <w:t>
      Требования распространяются на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эмитенты).</w:t>
      </w:r>
    </w:p>
    <w:bookmarkEnd w:id="17"/>
    <w:bookmarkStart w:name="z27" w:id="18"/>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18"/>
    <w:bookmarkStart w:name="z28" w:id="19"/>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9"/>
    <w:bookmarkStart w:name="z29" w:id="20"/>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эмитентами самостоятельно, за исключением признаков подозрительной деятельности клиента, подлежащей финансовому мониторингу;</w:t>
      </w:r>
    </w:p>
    <w:bookmarkEnd w:id="20"/>
    <w:bookmarkStart w:name="z30" w:id="21"/>
    <w:p>
      <w:pPr>
        <w:spacing w:after="0"/>
        <w:ind w:left="0"/>
        <w:jc w:val="both"/>
      </w:pPr>
      <w:r>
        <w:rPr>
          <w:rFonts w:ascii="Times New Roman"/>
          <w:b w:val="false"/>
          <w:i w:val="false"/>
          <w:color w:val="000000"/>
          <w:sz w:val="28"/>
        </w:rPr>
        <w:t>
      2) клиент – физическое, юридическое лицо или иностранная структура без образования юридического лица, получающие услуги субъекта финансового мониторинга и являющиеся держателями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финансовых инструментов, выпускаемых в электронно-цифровой форме на цифровой платформе оператора платформы цифровых финансовых активов;</w:t>
      </w:r>
    </w:p>
    <w:bookmarkEnd w:id="21"/>
    <w:bookmarkStart w:name="z31" w:id="22"/>
    <w:p>
      <w:pPr>
        <w:spacing w:after="0"/>
        <w:ind w:left="0"/>
        <w:jc w:val="both"/>
      </w:pPr>
      <w:r>
        <w:rPr>
          <w:rFonts w:ascii="Times New Roman"/>
          <w:b w:val="false"/>
          <w:i w:val="false"/>
          <w:color w:val="000000"/>
          <w:sz w:val="28"/>
        </w:rPr>
        <w:t>
      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эмитентов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2"/>
    <w:bookmarkStart w:name="z32" w:id="23"/>
    <w:p>
      <w:pPr>
        <w:spacing w:after="0"/>
        <w:ind w:left="0"/>
        <w:jc w:val="both"/>
      </w:pPr>
      <w:r>
        <w:rPr>
          <w:rFonts w:ascii="Times New Roman"/>
          <w:b w:val="false"/>
          <w:i w:val="false"/>
          <w:color w:val="000000"/>
          <w:sz w:val="28"/>
        </w:rPr>
        <w:t>
      4)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эмитентами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23"/>
    <w:bookmarkStart w:name="z33" w:id="24"/>
    <w:p>
      <w:pPr>
        <w:spacing w:after="0"/>
        <w:ind w:left="0"/>
        <w:jc w:val="both"/>
      </w:pPr>
      <w:r>
        <w:rPr>
          <w:rFonts w:ascii="Times New Roman"/>
          <w:b w:val="false"/>
          <w:i w:val="false"/>
          <w:color w:val="000000"/>
          <w:sz w:val="28"/>
        </w:rPr>
        <w:t xml:space="preserve">
      5) пороговая операция – операция клиента с деньгами и (или) иным имуществом, подлежащая финансовому мониторингу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w:t>
      </w:r>
    </w:p>
    <w:bookmarkEnd w:id="24"/>
    <w:bookmarkStart w:name="z34" w:id="25"/>
    <w:p>
      <w:pPr>
        <w:spacing w:after="0"/>
        <w:ind w:left="0"/>
        <w:jc w:val="both"/>
      </w:pPr>
      <w:r>
        <w:rPr>
          <w:rFonts w:ascii="Times New Roman"/>
          <w:b w:val="false"/>
          <w:i w:val="false"/>
          <w:color w:val="000000"/>
          <w:sz w:val="28"/>
        </w:rPr>
        <w:t>
      6) деловые отношения – отношения с клиентами, возникающие в процессе осуществления эмитентами профессиональной деятельности.</w:t>
      </w:r>
    </w:p>
    <w:bookmarkEnd w:id="25"/>
    <w:bookmarkStart w:name="z35" w:id="26"/>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ПОД/ФТ/ФРОМУ) осуществляется эмитентами в рамках деловых отношений, связанных с цифровыми финансовыми активами, в целях:</w:t>
      </w:r>
    </w:p>
    <w:bookmarkEnd w:id="26"/>
    <w:bookmarkStart w:name="z36" w:id="27"/>
    <w:p>
      <w:pPr>
        <w:spacing w:after="0"/>
        <w:ind w:left="0"/>
        <w:jc w:val="both"/>
      </w:pPr>
      <w:r>
        <w:rPr>
          <w:rFonts w:ascii="Times New Roman"/>
          <w:b w:val="false"/>
          <w:i w:val="false"/>
          <w:color w:val="000000"/>
          <w:sz w:val="28"/>
        </w:rPr>
        <w:t xml:space="preserve">
      1) обеспечения выполнения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w:t>
      </w:r>
    </w:p>
    <w:bookmarkEnd w:id="27"/>
    <w:bookmarkStart w:name="z37" w:id="28"/>
    <w:p>
      <w:pPr>
        <w:spacing w:after="0"/>
        <w:ind w:left="0"/>
        <w:jc w:val="both"/>
      </w:pPr>
      <w:r>
        <w:rPr>
          <w:rFonts w:ascii="Times New Roman"/>
          <w:b w:val="false"/>
          <w:i w:val="false"/>
          <w:color w:val="000000"/>
          <w:sz w:val="28"/>
        </w:rPr>
        <w:t>
      2) поддержания эффективности системы внутреннего контроля эмитентов на уровне, достаточном для управления рисками ОД/ФТ/ФРОМУ с учетом особенностей цифровых финансовых активов и применяемых технологий и сопряженными рисками (операционного, репутационного, правового);</w:t>
      </w:r>
    </w:p>
    <w:bookmarkEnd w:id="28"/>
    <w:bookmarkStart w:name="z38" w:id="29"/>
    <w:p>
      <w:pPr>
        <w:spacing w:after="0"/>
        <w:ind w:left="0"/>
        <w:jc w:val="both"/>
      </w:pPr>
      <w:r>
        <w:rPr>
          <w:rFonts w:ascii="Times New Roman"/>
          <w:b w:val="false"/>
          <w:i w:val="false"/>
          <w:color w:val="000000"/>
          <w:sz w:val="28"/>
        </w:rPr>
        <w:t>
      3) исключения вовлечения эмитентов, их должностных лиц и работников в процессы ОД/ФТ/ФРОМУ.</w:t>
      </w:r>
    </w:p>
    <w:bookmarkEnd w:id="29"/>
    <w:bookmarkStart w:name="z39" w:id="30"/>
    <w:p>
      <w:pPr>
        <w:spacing w:after="0"/>
        <w:ind w:left="0"/>
        <w:jc w:val="both"/>
      </w:pPr>
      <w:r>
        <w:rPr>
          <w:rFonts w:ascii="Times New Roman"/>
          <w:b w:val="false"/>
          <w:i w:val="false"/>
          <w:color w:val="000000"/>
          <w:sz w:val="28"/>
        </w:rPr>
        <w:t>
      4. В рамках организации внутреннего контроля в целях ПОД/ФТ/ФРОМУ эмитентами разрабатываются и принимаются правила внутреннего контроля.</w:t>
      </w:r>
    </w:p>
    <w:bookmarkEnd w:id="30"/>
    <w:bookmarkStart w:name="z40" w:id="31"/>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эмитентами самостоятельно в соответствии с Требованиями и являются внутренними документами эмитентов либо совокупностью таких документов, утвержденными эмитентами.</w:t>
      </w:r>
    </w:p>
    <w:bookmarkEnd w:id="31"/>
    <w:bookmarkStart w:name="z41" w:id="32"/>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32"/>
    <w:bookmarkStart w:name="z42" w:id="33"/>
    <w:p>
      <w:pPr>
        <w:spacing w:after="0"/>
        <w:ind w:left="0"/>
        <w:jc w:val="both"/>
      </w:pPr>
      <w:r>
        <w:rPr>
          <w:rFonts w:ascii="Times New Roman"/>
          <w:b w:val="false"/>
          <w:i w:val="false"/>
          <w:color w:val="000000"/>
          <w:sz w:val="28"/>
        </w:rPr>
        <w:t>
      5. В порядке, установленном внутренними документами эмитента, у эмитента назначается лицо,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ПОД/ФТ/ФРОМУ.</w:t>
      </w:r>
    </w:p>
    <w:bookmarkEnd w:id="33"/>
    <w:bookmarkStart w:name="z43" w:id="34"/>
    <w:p>
      <w:pPr>
        <w:spacing w:after="0"/>
        <w:ind w:left="0"/>
        <w:jc w:val="both"/>
      </w:pPr>
      <w:r>
        <w:rPr>
          <w:rFonts w:ascii="Times New Roman"/>
          <w:b w:val="false"/>
          <w:i w:val="false"/>
          <w:color w:val="000000"/>
          <w:sz w:val="28"/>
        </w:rPr>
        <w:t>
      6. Программа организации внутреннего контроля в целях ПОД/ФТ/ФРОМУ включает, но не ограничивается:</w:t>
      </w:r>
    </w:p>
    <w:bookmarkEnd w:id="34"/>
    <w:bookmarkStart w:name="z44" w:id="35"/>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35"/>
    <w:bookmarkStart w:name="z45" w:id="36"/>
    <w:p>
      <w:pPr>
        <w:spacing w:after="0"/>
        <w:ind w:left="0"/>
        <w:jc w:val="both"/>
      </w:pPr>
      <w:r>
        <w:rPr>
          <w:rFonts w:ascii="Times New Roman"/>
          <w:b w:val="false"/>
          <w:i w:val="false"/>
          <w:color w:val="000000"/>
          <w:sz w:val="28"/>
        </w:rPr>
        <w:t xml:space="preserve">
      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 (далее – Перечень ФРОМУ);</w:t>
      </w:r>
    </w:p>
    <w:bookmarkEnd w:id="36"/>
    <w:bookmarkStart w:name="z46" w:id="37"/>
    <w:p>
      <w:pPr>
        <w:spacing w:after="0"/>
        <w:ind w:left="0"/>
        <w:jc w:val="both"/>
      </w:pPr>
      <w:r>
        <w:rPr>
          <w:rFonts w:ascii="Times New Roman"/>
          <w:b w:val="false"/>
          <w:i w:val="false"/>
          <w:color w:val="000000"/>
          <w:sz w:val="28"/>
        </w:rPr>
        <w:t>
      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bookmarkEnd w:id="37"/>
    <w:bookmarkStart w:name="z47" w:id="38"/>
    <w:p>
      <w:pPr>
        <w:spacing w:after="0"/>
        <w:ind w:left="0"/>
        <w:jc w:val="both"/>
      </w:pPr>
      <w:r>
        <w:rPr>
          <w:rFonts w:ascii="Times New Roman"/>
          <w:b w:val="false"/>
          <w:i w:val="false"/>
          <w:color w:val="000000"/>
          <w:sz w:val="28"/>
        </w:rPr>
        <w:t xml:space="preserve">
      4) порядок информирования работниками эмитентов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эмитентов;</w:t>
      </w:r>
    </w:p>
    <w:bookmarkEnd w:id="38"/>
    <w:bookmarkStart w:name="z48" w:id="39"/>
    <w:p>
      <w:pPr>
        <w:spacing w:after="0"/>
        <w:ind w:left="0"/>
        <w:jc w:val="both"/>
      </w:pPr>
      <w:r>
        <w:rPr>
          <w:rFonts w:ascii="Times New Roman"/>
          <w:b w:val="false"/>
          <w:i w:val="false"/>
          <w:color w:val="000000"/>
          <w:sz w:val="28"/>
        </w:rPr>
        <w:t>
      5) описание требований по ПОД/ФТ/ФРОМУ, установленных юридическими лицами, которые имеют контроль над эмитентами (при наличии);</w:t>
      </w:r>
    </w:p>
    <w:bookmarkEnd w:id="39"/>
    <w:bookmarkStart w:name="z49" w:id="40"/>
    <w:p>
      <w:pPr>
        <w:spacing w:after="0"/>
        <w:ind w:left="0"/>
        <w:jc w:val="both"/>
      </w:pPr>
      <w:r>
        <w:rPr>
          <w:rFonts w:ascii="Times New Roman"/>
          <w:b w:val="false"/>
          <w:i w:val="false"/>
          <w:color w:val="000000"/>
          <w:sz w:val="28"/>
        </w:rPr>
        <w:t>
      7. Функции ответственного работника в соответствии с программой организации внутреннего контроля в целях ПОД/ФТ/ФРОМУ включают, но не ограничиваются:</w:t>
      </w:r>
    </w:p>
    <w:bookmarkEnd w:id="40"/>
    <w:bookmarkStart w:name="z50" w:id="41"/>
    <w:p>
      <w:pPr>
        <w:spacing w:after="0"/>
        <w:ind w:left="0"/>
        <w:jc w:val="both"/>
      </w:pPr>
      <w:r>
        <w:rPr>
          <w:rFonts w:ascii="Times New Roman"/>
          <w:b w:val="false"/>
          <w:i w:val="false"/>
          <w:color w:val="000000"/>
          <w:sz w:val="28"/>
        </w:rPr>
        <w:t>
      1) обеспечение наличия разработанных эмитентом правил внутреннего контроля и (или) изменений (дополнений) к ним, а также мониторинг за их соблюдением;</w:t>
      </w:r>
    </w:p>
    <w:bookmarkEnd w:id="41"/>
    <w:bookmarkStart w:name="z51" w:id="42"/>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42"/>
    <w:bookmarkStart w:name="z52" w:id="43"/>
    <w:p>
      <w:pPr>
        <w:spacing w:after="0"/>
        <w:ind w:left="0"/>
        <w:jc w:val="both"/>
      </w:pPr>
      <w:r>
        <w:rPr>
          <w:rFonts w:ascii="Times New Roman"/>
          <w:b w:val="false"/>
          <w:i w:val="false"/>
          <w:color w:val="000000"/>
          <w:sz w:val="28"/>
        </w:rPr>
        <w:t>
      3) информирование руководства эмитентов о выявленных клиентах, состоящих в Перечне, Перечне ФРОМУ и принятых мерах по применению целевых финансовых санкций;</w:t>
      </w:r>
    </w:p>
    <w:bookmarkEnd w:id="43"/>
    <w:bookmarkStart w:name="z53" w:id="44"/>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эмитентов;</w:t>
      </w:r>
    </w:p>
    <w:bookmarkEnd w:id="44"/>
    <w:bookmarkStart w:name="z54" w:id="45"/>
    <w:p>
      <w:pPr>
        <w:spacing w:after="0"/>
        <w:ind w:left="0"/>
        <w:jc w:val="both"/>
      </w:pPr>
      <w:r>
        <w:rPr>
          <w:rFonts w:ascii="Times New Roman"/>
          <w:b w:val="false"/>
          <w:i w:val="false"/>
          <w:color w:val="000000"/>
          <w:sz w:val="28"/>
        </w:rPr>
        <w:t xml:space="preserve">
      5) принятие либо согласование с руководством эмитентов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 с клиентами, и в порядке, предусмотренном внутренними документами эмитента;</w:t>
      </w:r>
    </w:p>
    <w:bookmarkEnd w:id="45"/>
    <w:bookmarkStart w:name="z55" w:id="46"/>
    <w:p>
      <w:pPr>
        <w:spacing w:after="0"/>
        <w:ind w:left="0"/>
        <w:jc w:val="both"/>
      </w:pPr>
      <w:r>
        <w:rPr>
          <w:rFonts w:ascii="Times New Roman"/>
          <w:b w:val="false"/>
          <w:i w:val="false"/>
          <w:color w:val="000000"/>
          <w:sz w:val="28"/>
        </w:rPr>
        <w:t>
      8. Для выполнения возложенных функций ответственный работник наделяется следующими полномочиями, включая, но не ограничиваясь:</w:t>
      </w:r>
    </w:p>
    <w:bookmarkEnd w:id="46"/>
    <w:bookmarkStart w:name="z56" w:id="47"/>
    <w:p>
      <w:pPr>
        <w:spacing w:after="0"/>
        <w:ind w:left="0"/>
        <w:jc w:val="both"/>
      </w:pPr>
      <w:r>
        <w:rPr>
          <w:rFonts w:ascii="Times New Roman"/>
          <w:b w:val="false"/>
          <w:i w:val="false"/>
          <w:color w:val="000000"/>
          <w:sz w:val="28"/>
        </w:rPr>
        <w:t>
      1) получение доступа ко всем помещениям эмитента,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эмитента;</w:t>
      </w:r>
    </w:p>
    <w:bookmarkEnd w:id="47"/>
    <w:bookmarkStart w:name="z57" w:id="48"/>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48"/>
    <w:bookmarkStart w:name="z58" w:id="49"/>
    <w:p>
      <w:pPr>
        <w:spacing w:after="0"/>
        <w:ind w:left="0"/>
        <w:jc w:val="both"/>
      </w:pPr>
      <w:r>
        <w:rPr>
          <w:rFonts w:ascii="Times New Roman"/>
          <w:b w:val="false"/>
          <w:i w:val="false"/>
          <w:color w:val="000000"/>
          <w:sz w:val="28"/>
        </w:rPr>
        <w:t>
      9. Эмитент обеспечивает проведение независимой оценки эффективности системы внутреннего контроля в целях противодействия ОД/ФТ/ФРОМУ с учетом риск-ориентированного подхода.</w:t>
      </w:r>
    </w:p>
    <w:bookmarkEnd w:id="49"/>
    <w:bookmarkStart w:name="z59" w:id="50"/>
    <w:p>
      <w:pPr>
        <w:spacing w:after="0"/>
        <w:ind w:left="0"/>
        <w:jc w:val="both"/>
      </w:pPr>
      <w:r>
        <w:rPr>
          <w:rFonts w:ascii="Times New Roman"/>
          <w:b w:val="false"/>
          <w:i w:val="false"/>
          <w:color w:val="000000"/>
          <w:sz w:val="28"/>
        </w:rPr>
        <w:t>
      Такая оценка может проводиться лицом либо организацией, не участвующими в реализации правил внутреннего контроля.</w:t>
      </w:r>
    </w:p>
    <w:bookmarkEnd w:id="50"/>
    <w:bookmarkStart w:name="z60" w:id="51"/>
    <w:p>
      <w:pPr>
        <w:spacing w:after="0"/>
        <w:ind w:left="0"/>
        <w:jc w:val="both"/>
      </w:pPr>
      <w:r>
        <w:rPr>
          <w:rFonts w:ascii="Times New Roman"/>
          <w:b w:val="false"/>
          <w:i w:val="false"/>
          <w:color w:val="000000"/>
          <w:sz w:val="28"/>
        </w:rPr>
        <w:t>
      10. Эмитент для автоматизации процессов по вопросам внутреннего контроля в целях противодействия ОД/ФТ/ФРОМУ использует автоматизированные цифровые системы, соответствующие требованиям внутреннего контроля эмитентов.</w:t>
      </w:r>
    </w:p>
    <w:bookmarkEnd w:id="51"/>
    <w:bookmarkStart w:name="z61" w:id="52"/>
    <w:p>
      <w:pPr>
        <w:spacing w:after="0"/>
        <w:ind w:left="0"/>
        <w:jc w:val="left"/>
      </w:pPr>
      <w:r>
        <w:rPr>
          <w:rFonts w:ascii="Times New Roman"/>
          <w:b/>
          <w:i w:val="false"/>
          <w:color w:val="000000"/>
        </w:rPr>
        <w:t xml:space="preserve"> Глава 3. Программа управления рисками ОД/ФТ/ФРОМУ</w:t>
      </w:r>
    </w:p>
    <w:bookmarkEnd w:id="52"/>
    <w:bookmarkStart w:name="z62" w:id="53"/>
    <w:p>
      <w:pPr>
        <w:spacing w:after="0"/>
        <w:ind w:left="0"/>
        <w:jc w:val="both"/>
      </w:pPr>
      <w:r>
        <w:rPr>
          <w:rFonts w:ascii="Times New Roman"/>
          <w:b w:val="false"/>
          <w:i w:val="false"/>
          <w:color w:val="000000"/>
          <w:sz w:val="28"/>
        </w:rPr>
        <w:t>
      11. В целях организации управления рисками ОД/ФТ/ФРОМУ эмитент разрабатывает программу управления рисками (оценки рисков) ОД/ФТ/ФРОМУ.</w:t>
      </w:r>
    </w:p>
    <w:bookmarkEnd w:id="53"/>
    <w:bookmarkStart w:name="z63" w:id="54"/>
    <w:p>
      <w:pPr>
        <w:spacing w:after="0"/>
        <w:ind w:left="0"/>
        <w:jc w:val="both"/>
      </w:pPr>
      <w:r>
        <w:rPr>
          <w:rFonts w:ascii="Times New Roman"/>
          <w:b w:val="false"/>
          <w:i w:val="false"/>
          <w:color w:val="000000"/>
          <w:sz w:val="28"/>
        </w:rPr>
        <w:t xml:space="preserve">
      12. При реализации программы управления рисками ОД/ФТ/ФРОМУ эмитент учитывает опубликованную информацию из отчета рисков легализации (отмывания) доходов, финансирования терроризма и финансирования распространения оружия массового уничтожения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11-1 Закона о ПОД/ФТ/ФРОМУ.</w:t>
      </w:r>
    </w:p>
    <w:bookmarkEnd w:id="54"/>
    <w:bookmarkStart w:name="z64" w:id="55"/>
    <w:p>
      <w:pPr>
        <w:spacing w:after="0"/>
        <w:ind w:left="0"/>
        <w:jc w:val="both"/>
      </w:pPr>
      <w:r>
        <w:rPr>
          <w:rFonts w:ascii="Times New Roman"/>
          <w:b w:val="false"/>
          <w:i w:val="false"/>
          <w:color w:val="000000"/>
          <w:sz w:val="28"/>
        </w:rPr>
        <w:t>
      13. Программа управления рисками ОД/ФТ/ФРОМУ включает, но не ограничивается:</w:t>
      </w:r>
    </w:p>
    <w:bookmarkEnd w:id="55"/>
    <w:bookmarkStart w:name="z65" w:id="56"/>
    <w:p>
      <w:pPr>
        <w:spacing w:after="0"/>
        <w:ind w:left="0"/>
        <w:jc w:val="both"/>
      </w:pPr>
      <w:r>
        <w:rPr>
          <w:rFonts w:ascii="Times New Roman"/>
          <w:b w:val="false"/>
          <w:i w:val="false"/>
          <w:color w:val="000000"/>
          <w:sz w:val="28"/>
        </w:rPr>
        <w:t>
      1) порядок организации управления рисками ОД/ФТ/ФРОМУ эмитента;</w:t>
      </w:r>
    </w:p>
    <w:bookmarkEnd w:id="56"/>
    <w:bookmarkStart w:name="z66" w:id="57"/>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w:t>
      </w:r>
    </w:p>
    <w:bookmarkEnd w:id="57"/>
    <w:bookmarkStart w:name="z67" w:id="58"/>
    <w:p>
      <w:pPr>
        <w:spacing w:after="0"/>
        <w:ind w:left="0"/>
        <w:jc w:val="both"/>
      </w:pPr>
      <w:r>
        <w:rPr>
          <w:rFonts w:ascii="Times New Roman"/>
          <w:b w:val="false"/>
          <w:i w:val="false"/>
          <w:color w:val="000000"/>
          <w:sz w:val="28"/>
        </w:rPr>
        <w:t>
      уровня риска клиента;</w:t>
      </w:r>
    </w:p>
    <w:bookmarkEnd w:id="58"/>
    <w:bookmarkStart w:name="z68" w:id="59"/>
    <w:p>
      <w:pPr>
        <w:spacing w:after="0"/>
        <w:ind w:left="0"/>
        <w:jc w:val="both"/>
      </w:pPr>
      <w:r>
        <w:rPr>
          <w:rFonts w:ascii="Times New Roman"/>
          <w:b w:val="false"/>
          <w:i w:val="false"/>
          <w:color w:val="000000"/>
          <w:sz w:val="28"/>
        </w:rPr>
        <w:t>
      степени подверженности услуг (продуктов) эмитента рискам ОД/ФТ/ФРОМУ;</w:t>
      </w:r>
    </w:p>
    <w:bookmarkEnd w:id="59"/>
    <w:bookmarkStart w:name="z69" w:id="60"/>
    <w:p>
      <w:pPr>
        <w:spacing w:after="0"/>
        <w:ind w:left="0"/>
        <w:jc w:val="both"/>
      </w:pPr>
      <w:r>
        <w:rPr>
          <w:rFonts w:ascii="Times New Roman"/>
          <w:b w:val="false"/>
          <w:i w:val="false"/>
          <w:color w:val="000000"/>
          <w:sz w:val="28"/>
        </w:rPr>
        <w:t>
      3) порядок присвоения, сроки и основания для пересмотра уровней рисков клиентов;</w:t>
      </w:r>
    </w:p>
    <w:bookmarkEnd w:id="60"/>
    <w:bookmarkStart w:name="z70" w:id="61"/>
    <w:p>
      <w:pPr>
        <w:spacing w:after="0"/>
        <w:ind w:left="0"/>
        <w:jc w:val="both"/>
      </w:pPr>
      <w:r>
        <w:rPr>
          <w:rFonts w:ascii="Times New Roman"/>
          <w:b w:val="false"/>
          <w:i w:val="false"/>
          <w:color w:val="000000"/>
          <w:sz w:val="28"/>
        </w:rPr>
        <w:t>
      4) порядок определения и оценки рисков ОД/ФТ/ФРОМУ, возникающих до разработки (запуска) новых продуктов и новой деловой практики, включая новые механизмы передачи, а также использовании новых или развивающихся технологий как для новых, так и для уже существующих продуктов;</w:t>
      </w:r>
    </w:p>
    <w:bookmarkEnd w:id="61"/>
    <w:bookmarkStart w:name="z71" w:id="62"/>
    <w:p>
      <w:pPr>
        <w:spacing w:after="0"/>
        <w:ind w:left="0"/>
        <w:jc w:val="both"/>
      </w:pPr>
      <w:r>
        <w:rPr>
          <w:rFonts w:ascii="Times New Roman"/>
          <w:b w:val="false"/>
          <w:i w:val="false"/>
          <w:color w:val="000000"/>
          <w:sz w:val="28"/>
        </w:rPr>
        <w:t>
      5) порядок оценки рисков ОД/ФТ/ФРОМУ, связанных с базовым активом цифровых финансовых активов. Оценка рисков ОД/ФТ/ФРОМУ, связанных с базовым активом цифровых финансовых активов, осуществляется эмитентом с учетом модели (вида) выпуска цифровых финансовых активов. Такая оценка включает анализ правового статуса базового актива, законности его происхождения и соответствие условий выпуска цифровых финансовых активов экономическому содержанию базового актива.</w:t>
      </w:r>
    </w:p>
    <w:bookmarkEnd w:id="62"/>
    <w:bookmarkStart w:name="z72" w:id="63"/>
    <w:p>
      <w:pPr>
        <w:spacing w:after="0"/>
        <w:ind w:left="0"/>
        <w:jc w:val="both"/>
      </w:pPr>
      <w:r>
        <w:rPr>
          <w:rFonts w:ascii="Times New Roman"/>
          <w:b w:val="false"/>
          <w:i w:val="false"/>
          <w:color w:val="000000"/>
          <w:sz w:val="28"/>
        </w:rPr>
        <w:t>
      14. Типы клиентов, чей статус и (или) чья деятельность повышают риск ОД/ФТ/ФРОМУ, включают, но не ограничиваются:</w:t>
      </w:r>
    </w:p>
    <w:bookmarkEnd w:id="63"/>
    <w:bookmarkStart w:name="z73" w:id="64"/>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64"/>
    <w:bookmarkStart w:name="z74" w:id="65"/>
    <w:p>
      <w:pPr>
        <w:spacing w:after="0"/>
        <w:ind w:left="0"/>
        <w:jc w:val="both"/>
      </w:pPr>
      <w:r>
        <w:rPr>
          <w:rFonts w:ascii="Times New Roman"/>
          <w:b w:val="false"/>
          <w:i w:val="false"/>
          <w:color w:val="000000"/>
          <w:sz w:val="28"/>
        </w:rPr>
        <w:t>
      2) иностранные финансовые организации;</w:t>
      </w:r>
    </w:p>
    <w:bookmarkEnd w:id="65"/>
    <w:bookmarkStart w:name="z75" w:id="66"/>
    <w:p>
      <w:pPr>
        <w:spacing w:after="0"/>
        <w:ind w:left="0"/>
        <w:jc w:val="both"/>
      </w:pPr>
      <w:r>
        <w:rPr>
          <w:rFonts w:ascii="Times New Roman"/>
          <w:b w:val="false"/>
          <w:i w:val="false"/>
          <w:color w:val="000000"/>
          <w:sz w:val="28"/>
        </w:rPr>
        <w:t>
      3) лица, осуществляющие выпуск и оборот необеспеченных цифровых активов на территории Международного финансового центра "Астана";</w:t>
      </w:r>
    </w:p>
    <w:bookmarkEnd w:id="66"/>
    <w:bookmarkStart w:name="z76" w:id="67"/>
    <w:p>
      <w:pPr>
        <w:spacing w:after="0"/>
        <w:ind w:left="0"/>
        <w:jc w:val="both"/>
      </w:pPr>
      <w:r>
        <w:rPr>
          <w:rFonts w:ascii="Times New Roman"/>
          <w:b w:val="false"/>
          <w:i w:val="false"/>
          <w:color w:val="000000"/>
          <w:sz w:val="28"/>
        </w:rPr>
        <w:t>
      4) клиенты, осуществляющие операции с использованием кошельков цифровых активов, не обслуживаемых провайдерами услуг цифровых активов, при отсутствии достаточной информации о целях и характере операций;</w:t>
      </w:r>
    </w:p>
    <w:bookmarkEnd w:id="67"/>
    <w:bookmarkStart w:name="z77" w:id="68"/>
    <w:p>
      <w:pPr>
        <w:spacing w:after="0"/>
        <w:ind w:left="0"/>
        <w:jc w:val="both"/>
      </w:pPr>
      <w:r>
        <w:rPr>
          <w:rFonts w:ascii="Times New Roman"/>
          <w:b w:val="false"/>
          <w:i w:val="false"/>
          <w:color w:val="000000"/>
          <w:sz w:val="28"/>
        </w:rPr>
        <w:t>
      5) юридические лица и индивидуальные предприниматели, деятельность которых связана с интенсивным оборотом наличных денег, в том числе:</w:t>
      </w:r>
    </w:p>
    <w:bookmarkEnd w:id="68"/>
    <w:bookmarkStart w:name="z78" w:id="69"/>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69"/>
    <w:bookmarkStart w:name="z79" w:id="70"/>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bookmarkEnd w:id="70"/>
    <w:bookmarkStart w:name="z80" w:id="71"/>
    <w:p>
      <w:pPr>
        <w:spacing w:after="0"/>
        <w:ind w:left="0"/>
        <w:jc w:val="both"/>
      </w:pPr>
      <w:r>
        <w:rPr>
          <w:rFonts w:ascii="Times New Roman"/>
          <w:b w:val="false"/>
          <w:i w:val="false"/>
          <w:color w:val="000000"/>
          <w:sz w:val="28"/>
        </w:rPr>
        <w:t>
      6) страховые (перестраховочные) организации, страховые брокеры, осуществляющие деятельность по отрасли "страхование жизни";</w:t>
      </w:r>
    </w:p>
    <w:bookmarkEnd w:id="71"/>
    <w:bookmarkStart w:name="z81" w:id="72"/>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72"/>
    <w:bookmarkStart w:name="z82" w:id="73"/>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73"/>
    <w:bookmarkStart w:name="z83" w:id="74"/>
    <w:p>
      <w:pPr>
        <w:spacing w:after="0"/>
        <w:ind w:left="0"/>
        <w:jc w:val="both"/>
      </w:pPr>
      <w:r>
        <w:rPr>
          <w:rFonts w:ascii="Times New Roman"/>
          <w:b w:val="false"/>
          <w:i w:val="false"/>
          <w:color w:val="000000"/>
          <w:sz w:val="28"/>
        </w:rPr>
        <w:t>
      9) некоммерческие организации, в организационно-правовой форме фондов, религиозных объединений;</w:t>
      </w:r>
    </w:p>
    <w:bookmarkEnd w:id="74"/>
    <w:bookmarkStart w:name="z84" w:id="75"/>
    <w:p>
      <w:pPr>
        <w:spacing w:after="0"/>
        <w:ind w:left="0"/>
        <w:jc w:val="both"/>
      </w:pPr>
      <w:r>
        <w:rPr>
          <w:rFonts w:ascii="Times New Roman"/>
          <w:b w:val="false"/>
          <w:i w:val="false"/>
          <w:color w:val="000000"/>
          <w:sz w:val="28"/>
        </w:rPr>
        <w:t>
      10)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75"/>
    <w:bookmarkStart w:name="z85" w:id="76"/>
    <w:p>
      <w:pPr>
        <w:spacing w:after="0"/>
        <w:ind w:left="0"/>
        <w:jc w:val="both"/>
      </w:pPr>
      <w:r>
        <w:rPr>
          <w:rFonts w:ascii="Times New Roman"/>
          <w:b w:val="false"/>
          <w:i w:val="false"/>
          <w:color w:val="000000"/>
          <w:sz w:val="28"/>
        </w:rPr>
        <w:t>
      11) определенные эмитентом дополнительные типы (при наличии) клиентов, чей статус и (или) чья деятельность повышают риск ОД/ФТ/ФРОМУ.</w:t>
      </w:r>
    </w:p>
    <w:bookmarkEnd w:id="76"/>
    <w:bookmarkStart w:name="z86" w:id="77"/>
    <w:p>
      <w:pPr>
        <w:spacing w:after="0"/>
        <w:ind w:left="0"/>
        <w:jc w:val="both"/>
      </w:pPr>
      <w:r>
        <w:rPr>
          <w:rFonts w:ascii="Times New Roman"/>
          <w:b w:val="false"/>
          <w:i w:val="false"/>
          <w:color w:val="000000"/>
          <w:sz w:val="28"/>
        </w:rPr>
        <w:t>
      15. Типы клиентов, чей статус и (или) чья деятельность понижают риск ОД/ФТ/ФРОМУ, включают, но не ограничиваются:</w:t>
      </w:r>
    </w:p>
    <w:bookmarkEnd w:id="77"/>
    <w:bookmarkStart w:name="z87" w:id="78"/>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Республики Казахстан;</w:t>
      </w:r>
    </w:p>
    <w:bookmarkEnd w:id="78"/>
    <w:bookmarkStart w:name="z88" w:id="79"/>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79"/>
    <w:bookmarkStart w:name="z89" w:id="80"/>
    <w:p>
      <w:pPr>
        <w:spacing w:after="0"/>
        <w:ind w:left="0"/>
        <w:jc w:val="both"/>
      </w:pPr>
      <w:r>
        <w:rPr>
          <w:rFonts w:ascii="Times New Roman"/>
          <w:b w:val="false"/>
          <w:i w:val="false"/>
          <w:color w:val="000000"/>
          <w:sz w:val="28"/>
        </w:rPr>
        <w:t>
      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w:t>
      </w:r>
    </w:p>
    <w:bookmarkEnd w:id="80"/>
    <w:bookmarkStart w:name="z90" w:id="81"/>
    <w:p>
      <w:pPr>
        <w:spacing w:after="0"/>
        <w:ind w:left="0"/>
        <w:jc w:val="both"/>
      </w:pPr>
      <w:r>
        <w:rPr>
          <w:rFonts w:ascii="Times New Roman"/>
          <w:b w:val="false"/>
          <w:i w:val="false"/>
          <w:color w:val="000000"/>
          <w:sz w:val="28"/>
        </w:rPr>
        <w:t>
      16. Эмитент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государств, осуществлением операций с участием таких иностранных государств.</w:t>
      </w:r>
    </w:p>
    <w:bookmarkEnd w:id="81"/>
    <w:bookmarkStart w:name="z91" w:id="82"/>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82"/>
    <w:bookmarkStart w:name="z92" w:id="83"/>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w:t>
      </w:r>
    </w:p>
    <w:bookmarkEnd w:id="83"/>
    <w:bookmarkStart w:name="z93" w:id="84"/>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bookmarkEnd w:id="84"/>
    <w:bookmarkStart w:name="z94" w:id="85"/>
    <w:p>
      <w:pPr>
        <w:spacing w:after="0"/>
        <w:ind w:left="0"/>
        <w:jc w:val="both"/>
      </w:pPr>
      <w:r>
        <w:rPr>
          <w:rFonts w:ascii="Times New Roman"/>
          <w:b w:val="false"/>
          <w:i w:val="false"/>
          <w:color w:val="000000"/>
          <w:sz w:val="28"/>
        </w:rPr>
        <w:t>
      3) 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85"/>
    <w:bookmarkStart w:name="z95" w:id="86"/>
    <w:p>
      <w:pPr>
        <w:spacing w:after="0"/>
        <w:ind w:left="0"/>
        <w:jc w:val="both"/>
      </w:pPr>
      <w:r>
        <w:rPr>
          <w:rFonts w:ascii="Times New Roman"/>
          <w:b w:val="false"/>
          <w:i w:val="false"/>
          <w:color w:val="000000"/>
          <w:sz w:val="28"/>
        </w:rPr>
        <w:t>
      4) иностранные государства (территории), определенные эмитентом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86"/>
    <w:bookmarkStart w:name="z96" w:id="87"/>
    <w:p>
      <w:pPr>
        <w:spacing w:after="0"/>
        <w:ind w:left="0"/>
        <w:jc w:val="both"/>
      </w:pPr>
      <w:r>
        <w:rPr>
          <w:rFonts w:ascii="Times New Roman"/>
          <w:b w:val="false"/>
          <w:i w:val="false"/>
          <w:color w:val="000000"/>
          <w:sz w:val="28"/>
        </w:rPr>
        <w:t>
      17. Услуги (продукты, операции) эмитента, а также способы их предоставления, повышающие риск ОД/ФТ/ФРОМУ, включают, но не ограничиваются:</w:t>
      </w:r>
    </w:p>
    <w:bookmarkEnd w:id="87"/>
    <w:bookmarkStart w:name="z97" w:id="88"/>
    <w:p>
      <w:pPr>
        <w:spacing w:after="0"/>
        <w:ind w:left="0"/>
        <w:jc w:val="both"/>
      </w:pPr>
      <w:r>
        <w:rPr>
          <w:rFonts w:ascii="Times New Roman"/>
          <w:b w:val="false"/>
          <w:i w:val="false"/>
          <w:color w:val="000000"/>
          <w:sz w:val="28"/>
        </w:rPr>
        <w:t>
      1) доверительное управление активами;</w:t>
      </w:r>
    </w:p>
    <w:bookmarkEnd w:id="88"/>
    <w:bookmarkStart w:name="z98" w:id="89"/>
    <w:p>
      <w:pPr>
        <w:spacing w:after="0"/>
        <w:ind w:left="0"/>
        <w:jc w:val="both"/>
      </w:pPr>
      <w:r>
        <w:rPr>
          <w:rFonts w:ascii="Times New Roman"/>
          <w:b w:val="false"/>
          <w:i w:val="false"/>
          <w:color w:val="000000"/>
          <w:sz w:val="28"/>
        </w:rPr>
        <w:t>
      2) новые продукты и деловые практики, включающие механизмы передачи информации, новые и развивающиеся технологии, как для новых, так и для уже существующих продуктов, определяемые в правилах внутреннего контроля эмитента.</w:t>
      </w:r>
    </w:p>
    <w:bookmarkEnd w:id="89"/>
    <w:bookmarkStart w:name="z99" w:id="90"/>
    <w:p>
      <w:pPr>
        <w:spacing w:after="0"/>
        <w:ind w:left="0"/>
        <w:jc w:val="both"/>
      </w:pPr>
      <w:r>
        <w:rPr>
          <w:rFonts w:ascii="Times New Roman"/>
          <w:b w:val="false"/>
          <w:i w:val="false"/>
          <w:color w:val="000000"/>
          <w:sz w:val="28"/>
        </w:rPr>
        <w:t>
      18. При оценке степени подверженности услуг эмитента рискам ОД/ФТ/ФРОМУ в соответствии с факторами рисков, указанными в пунктах 14, 15, 16 и 17 Требований, эмитентом учитываются дополнительные сведения, влияющие на итоговую степень риска, включая, но не ограничиваясь:</w:t>
      </w:r>
    </w:p>
    <w:bookmarkEnd w:id="90"/>
    <w:bookmarkStart w:name="z100" w:id="91"/>
    <w:p>
      <w:pPr>
        <w:spacing w:after="0"/>
        <w:ind w:left="0"/>
        <w:jc w:val="both"/>
      </w:pPr>
      <w:r>
        <w:rPr>
          <w:rFonts w:ascii="Times New Roman"/>
          <w:b w:val="false"/>
          <w:i w:val="false"/>
          <w:color w:val="000000"/>
          <w:sz w:val="28"/>
        </w:rPr>
        <w:t>
      1) количество направленных эмитентом в уполномоченный орган сообщений о подозрительных операциях клиентов;</w:t>
      </w:r>
    </w:p>
    <w:bookmarkEnd w:id="91"/>
    <w:bookmarkStart w:name="z101" w:id="92"/>
    <w:p>
      <w:pPr>
        <w:spacing w:after="0"/>
        <w:ind w:left="0"/>
        <w:jc w:val="both"/>
      </w:pPr>
      <w:r>
        <w:rPr>
          <w:rFonts w:ascii="Times New Roman"/>
          <w:b w:val="false"/>
          <w:i w:val="false"/>
          <w:color w:val="000000"/>
          <w:sz w:val="28"/>
        </w:rPr>
        <w:t>
      2) количество направленных эмитентом в уполномоченный орган сообщений о пороговых операциях клиентов.</w:t>
      </w:r>
    </w:p>
    <w:bookmarkEnd w:id="92"/>
    <w:bookmarkStart w:name="z102" w:id="93"/>
    <w:p>
      <w:pPr>
        <w:spacing w:after="0"/>
        <w:ind w:left="0"/>
        <w:jc w:val="both"/>
      </w:pPr>
      <w:r>
        <w:rPr>
          <w:rFonts w:ascii="Times New Roman"/>
          <w:b w:val="false"/>
          <w:i w:val="false"/>
          <w:color w:val="000000"/>
          <w:sz w:val="28"/>
        </w:rPr>
        <w:t>
      19. В рамках реализации программы управления рисками ОД/ФТ/ФРОМУ эмитентом принимаются меры по классификации клиентов с учетом категорий и факторов риска, указанных в пунктах 14, 15, 16 и 17 Требований.</w:t>
      </w:r>
    </w:p>
    <w:bookmarkEnd w:id="93"/>
    <w:bookmarkStart w:name="z103" w:id="94"/>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94"/>
    <w:bookmarkStart w:name="z104" w:id="95"/>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эмитенты разрабатывают программу идентификации клиентов (их представителей) и бенефициарных собственников.</w:t>
      </w:r>
    </w:p>
    <w:bookmarkEnd w:id="95"/>
    <w:bookmarkStart w:name="z105" w:id="96"/>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эмитентами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w:t>
      </w:r>
    </w:p>
    <w:bookmarkEnd w:id="96"/>
    <w:bookmarkStart w:name="z106" w:id="97"/>
    <w:p>
      <w:pPr>
        <w:spacing w:after="0"/>
        <w:ind w:left="0"/>
        <w:jc w:val="both"/>
      </w:pPr>
      <w:r>
        <w:rPr>
          <w:rFonts w:ascii="Times New Roman"/>
          <w:b w:val="false"/>
          <w:i w:val="false"/>
          <w:color w:val="000000"/>
          <w:sz w:val="28"/>
        </w:rPr>
        <w:t>
      21. Сведения, полученные в рамках идентификации клиентов, вносятся эмитентами в досье клиента, которое хранится эмитентами на протяжении всего периода деловых отношений с клиентом и не менее 5 (пяти) лет со дня их прекращения.</w:t>
      </w:r>
    </w:p>
    <w:bookmarkEnd w:id="97"/>
    <w:bookmarkStart w:name="z107" w:id="98"/>
    <w:p>
      <w:pPr>
        <w:spacing w:after="0"/>
        <w:ind w:left="0"/>
        <w:jc w:val="both"/>
      </w:pPr>
      <w:r>
        <w:rPr>
          <w:rFonts w:ascii="Times New Roman"/>
          <w:b w:val="false"/>
          <w:i w:val="false"/>
          <w:color w:val="000000"/>
          <w:sz w:val="28"/>
        </w:rPr>
        <w:t>
      22. Программа идентификации клиентов (их представителей) и бенефициарных собственников включает, но не ограничивается:</w:t>
      </w:r>
    </w:p>
    <w:bookmarkEnd w:id="98"/>
    <w:bookmarkStart w:name="z108" w:id="99"/>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эмитентами решения об отказе в установлении деловых отношений и (или) в проведении операции, а также прекращении деловых отношений;</w:t>
      </w:r>
    </w:p>
    <w:bookmarkEnd w:id="99"/>
    <w:bookmarkStart w:name="z109" w:id="100"/>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100"/>
    <w:bookmarkStart w:name="z110" w:id="101"/>
    <w:p>
      <w:pPr>
        <w:spacing w:after="0"/>
        <w:ind w:left="0"/>
        <w:jc w:val="both"/>
      </w:pPr>
      <w:r>
        <w:rPr>
          <w:rFonts w:ascii="Times New Roman"/>
          <w:b w:val="false"/>
          <w:i w:val="false"/>
          <w:color w:val="000000"/>
          <w:sz w:val="28"/>
        </w:rPr>
        <w:t>
      3) описание мер, направленных на выявление эмитентами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101"/>
    <w:bookmarkStart w:name="z111" w:id="102"/>
    <w:p>
      <w:pPr>
        <w:spacing w:after="0"/>
        <w:ind w:left="0"/>
        <w:jc w:val="both"/>
      </w:pPr>
      <w:r>
        <w:rPr>
          <w:rFonts w:ascii="Times New Roman"/>
          <w:b w:val="false"/>
          <w:i w:val="false"/>
          <w:color w:val="000000"/>
          <w:sz w:val="28"/>
        </w:rPr>
        <w:t>
      В отношении клиентов (их представителей) и бенефициарных собственников, отнесенных к публичным должностным лицам, их супругам и близким родственникам, эмитент применяет усиленные меры надлежащей проверки, а также усиленный мониторинг операций и обновление сведений о таких клиентах с повышенной периодичностью.</w:t>
      </w:r>
    </w:p>
    <w:bookmarkEnd w:id="102"/>
    <w:bookmarkStart w:name="z112" w:id="103"/>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и Перечне ФРОМУ;</w:t>
      </w:r>
    </w:p>
    <w:bookmarkEnd w:id="103"/>
    <w:bookmarkStart w:name="z113" w:id="104"/>
    <w:p>
      <w:pPr>
        <w:spacing w:after="0"/>
        <w:ind w:left="0"/>
        <w:jc w:val="both"/>
      </w:pPr>
      <w:r>
        <w:rPr>
          <w:rFonts w:ascii="Times New Roman"/>
          <w:b w:val="false"/>
          <w:i w:val="false"/>
          <w:color w:val="000000"/>
          <w:sz w:val="28"/>
        </w:rPr>
        <w:t>
      5) процедуру обеспечения прозрачности переводов цифровых активов, включая порядок получения, передачи и хранения сведений об отправителе и получателе цифровых активов при осуществлении операций с цифровыми активами, а также порядок действий работников эмитента при отсутствии, неполноте либо противоречивости таких сведений.</w:t>
      </w:r>
    </w:p>
    <w:bookmarkEnd w:id="104"/>
    <w:bookmarkStart w:name="z114" w:id="105"/>
    <w:p>
      <w:pPr>
        <w:spacing w:after="0"/>
        <w:ind w:left="0"/>
        <w:jc w:val="both"/>
      </w:pPr>
      <w:r>
        <w:rPr>
          <w:rFonts w:ascii="Times New Roman"/>
          <w:b w:val="false"/>
          <w:i w:val="false"/>
          <w:color w:val="000000"/>
          <w:sz w:val="28"/>
        </w:rPr>
        <w:t>
      В рамках указанной процедуры эмитент обеспечивает получение и фиксирование сведений об отправителе и получателе цифровых активов, включая, но не ограничиваясь, следующими:</w:t>
      </w:r>
    </w:p>
    <w:bookmarkEnd w:id="105"/>
    <w:bookmarkStart w:name="z115" w:id="106"/>
    <w:p>
      <w:pPr>
        <w:spacing w:after="0"/>
        <w:ind w:left="0"/>
        <w:jc w:val="both"/>
      </w:pPr>
      <w:r>
        <w:rPr>
          <w:rFonts w:ascii="Times New Roman"/>
          <w:b w:val="false"/>
          <w:i w:val="false"/>
          <w:color w:val="000000"/>
          <w:sz w:val="28"/>
        </w:rPr>
        <w:t>
      сведения об операции, включая вид цифрового актива, сумму, дату и время совершения операции, используемый блокчейн и иные сведения, предусмотренные внутренними документами эмитента.</w:t>
      </w:r>
    </w:p>
    <w:bookmarkEnd w:id="106"/>
    <w:bookmarkStart w:name="z116" w:id="107"/>
    <w:p>
      <w:pPr>
        <w:spacing w:after="0"/>
        <w:ind w:left="0"/>
        <w:jc w:val="both"/>
      </w:pPr>
      <w:r>
        <w:rPr>
          <w:rFonts w:ascii="Times New Roman"/>
          <w:b w:val="false"/>
          <w:i w:val="false"/>
          <w:color w:val="000000"/>
          <w:sz w:val="28"/>
        </w:rPr>
        <w:t xml:space="preserve">
      об отправителе цифровых активов: </w:t>
      </w:r>
    </w:p>
    <w:bookmarkEnd w:id="107"/>
    <w:bookmarkStart w:name="z117" w:id="108"/>
    <w:p>
      <w:pPr>
        <w:spacing w:after="0"/>
        <w:ind w:left="0"/>
        <w:jc w:val="both"/>
      </w:pPr>
      <w:r>
        <w:rPr>
          <w:rFonts w:ascii="Times New Roman"/>
          <w:b w:val="false"/>
          <w:i w:val="false"/>
          <w:color w:val="000000"/>
          <w:sz w:val="28"/>
        </w:rPr>
        <w:t>
      фамилия, имя, отчество (при его наличии) либо наименование юридического лица;</w:t>
      </w:r>
    </w:p>
    <w:bookmarkEnd w:id="108"/>
    <w:bookmarkStart w:name="z118" w:id="109"/>
    <w:p>
      <w:pPr>
        <w:spacing w:after="0"/>
        <w:ind w:left="0"/>
        <w:jc w:val="both"/>
      </w:pPr>
      <w:r>
        <w:rPr>
          <w:rFonts w:ascii="Times New Roman"/>
          <w:b w:val="false"/>
          <w:i w:val="false"/>
          <w:color w:val="000000"/>
          <w:sz w:val="28"/>
        </w:rPr>
        <w:t>
      сведения, позволяющие идентифицировать клиента;</w:t>
      </w:r>
    </w:p>
    <w:bookmarkEnd w:id="109"/>
    <w:bookmarkStart w:name="z119" w:id="110"/>
    <w:p>
      <w:pPr>
        <w:spacing w:after="0"/>
        <w:ind w:left="0"/>
        <w:jc w:val="both"/>
      </w:pPr>
      <w:r>
        <w:rPr>
          <w:rFonts w:ascii="Times New Roman"/>
          <w:b w:val="false"/>
          <w:i w:val="false"/>
          <w:color w:val="000000"/>
          <w:sz w:val="28"/>
        </w:rPr>
        <w:t>
      адрес кошелька цифровых активов либо иной уникальный идентификатор, используемый для осуществления операции;</w:t>
      </w:r>
    </w:p>
    <w:bookmarkEnd w:id="110"/>
    <w:bookmarkStart w:name="z120" w:id="111"/>
    <w:p>
      <w:pPr>
        <w:spacing w:after="0"/>
        <w:ind w:left="0"/>
        <w:jc w:val="both"/>
      </w:pPr>
      <w:r>
        <w:rPr>
          <w:rFonts w:ascii="Times New Roman"/>
          <w:b w:val="false"/>
          <w:i w:val="false"/>
          <w:color w:val="000000"/>
          <w:sz w:val="28"/>
        </w:rPr>
        <w:t>
      при наличии – сведения о провайдере услуг цифровых активов, обслуживающем отправителя;</w:t>
      </w:r>
    </w:p>
    <w:bookmarkEnd w:id="111"/>
    <w:bookmarkStart w:name="z121" w:id="112"/>
    <w:p>
      <w:pPr>
        <w:spacing w:after="0"/>
        <w:ind w:left="0"/>
        <w:jc w:val="both"/>
      </w:pPr>
      <w:r>
        <w:rPr>
          <w:rFonts w:ascii="Times New Roman"/>
          <w:b w:val="false"/>
          <w:i w:val="false"/>
          <w:color w:val="000000"/>
          <w:sz w:val="28"/>
        </w:rPr>
        <w:t xml:space="preserve">
      о получателе цифровых активов: </w:t>
      </w:r>
    </w:p>
    <w:bookmarkEnd w:id="112"/>
    <w:bookmarkStart w:name="z122" w:id="113"/>
    <w:p>
      <w:pPr>
        <w:spacing w:after="0"/>
        <w:ind w:left="0"/>
        <w:jc w:val="both"/>
      </w:pPr>
      <w:r>
        <w:rPr>
          <w:rFonts w:ascii="Times New Roman"/>
          <w:b w:val="false"/>
          <w:i w:val="false"/>
          <w:color w:val="000000"/>
          <w:sz w:val="28"/>
        </w:rPr>
        <w:t>
      фамилия, имя, отчество (при его наличии) либо наименование юридического лица;</w:t>
      </w:r>
    </w:p>
    <w:bookmarkEnd w:id="113"/>
    <w:bookmarkStart w:name="z123" w:id="114"/>
    <w:p>
      <w:pPr>
        <w:spacing w:after="0"/>
        <w:ind w:left="0"/>
        <w:jc w:val="both"/>
      </w:pPr>
      <w:r>
        <w:rPr>
          <w:rFonts w:ascii="Times New Roman"/>
          <w:b w:val="false"/>
          <w:i w:val="false"/>
          <w:color w:val="000000"/>
          <w:sz w:val="28"/>
        </w:rPr>
        <w:t>
      адрес кошелька цифровых активов либо иной уникальный идентификатор получателя;</w:t>
      </w:r>
    </w:p>
    <w:bookmarkEnd w:id="114"/>
    <w:bookmarkStart w:name="z124" w:id="115"/>
    <w:p>
      <w:pPr>
        <w:spacing w:after="0"/>
        <w:ind w:left="0"/>
        <w:jc w:val="both"/>
      </w:pPr>
      <w:r>
        <w:rPr>
          <w:rFonts w:ascii="Times New Roman"/>
          <w:b w:val="false"/>
          <w:i w:val="false"/>
          <w:color w:val="000000"/>
          <w:sz w:val="28"/>
        </w:rPr>
        <w:t>
      при наличии – сведения о провайдере услуг цифровых активов, обслуживающем получателя.</w:t>
      </w:r>
    </w:p>
    <w:bookmarkEnd w:id="115"/>
    <w:bookmarkStart w:name="z125" w:id="116"/>
    <w:p>
      <w:pPr>
        <w:spacing w:after="0"/>
        <w:ind w:left="0"/>
        <w:jc w:val="both"/>
      </w:pPr>
      <w:r>
        <w:rPr>
          <w:rFonts w:ascii="Times New Roman"/>
          <w:b w:val="false"/>
          <w:i w:val="false"/>
          <w:color w:val="000000"/>
          <w:sz w:val="28"/>
        </w:rPr>
        <w:t>
      6) особенности применения мер надлежащей проверки при переводе цифровых активов на адреса кошельков цифровых активов, не обслуживаемых провайдерами услуг цифровых активов, либо при получении цифровых активов с таких адресов, включая риск-ориентированные меры по установлению и проверке сведений о владельце (бенефициарном собственнике) такого кошелька цифрового актива, проведение усиленной идентификации и усиленного мониторинга операций в случаях, предусмотренных внутренними документами эмитента.</w:t>
      </w:r>
    </w:p>
    <w:bookmarkEnd w:id="116"/>
    <w:bookmarkStart w:name="z126" w:id="117"/>
    <w:p>
      <w:pPr>
        <w:spacing w:after="0"/>
        <w:ind w:left="0"/>
        <w:jc w:val="both"/>
      </w:pPr>
      <w:r>
        <w:rPr>
          <w:rFonts w:ascii="Times New Roman"/>
          <w:b w:val="false"/>
          <w:i w:val="false"/>
          <w:color w:val="000000"/>
          <w:sz w:val="28"/>
        </w:rPr>
        <w:t>
      23. Мероприятия по выявлению бенефициарного собственника клиента, установлению структуры его собственности и управления проводятся на основании учредительных документов и реестра держателей акций (реестра участников) такого клиента, Реестра бенефициарных собственников юридических лиц (далее – Реестр БС), размещенного на интернет-ресурсе уполномоченного органа по финансовому мониторингу либо сведений, полученных из других источников.</w:t>
      </w:r>
    </w:p>
    <w:bookmarkEnd w:id="117"/>
    <w:bookmarkStart w:name="z127" w:id="118"/>
    <w:p>
      <w:pPr>
        <w:spacing w:after="0"/>
        <w:ind w:left="0"/>
        <w:jc w:val="both"/>
      </w:pPr>
      <w:r>
        <w:rPr>
          <w:rFonts w:ascii="Times New Roman"/>
          <w:b w:val="false"/>
          <w:i w:val="false"/>
          <w:color w:val="000000"/>
          <w:sz w:val="28"/>
        </w:rPr>
        <w:t>
      24. Сведения о выявленных бенефициарных собственниках вносятся в Реестр БС.</w:t>
      </w:r>
    </w:p>
    <w:bookmarkEnd w:id="118"/>
    <w:bookmarkStart w:name="z128" w:id="119"/>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119"/>
    <w:bookmarkStart w:name="z129" w:id="120"/>
    <w:p>
      <w:pPr>
        <w:spacing w:after="0"/>
        <w:ind w:left="0"/>
        <w:jc w:val="both"/>
      </w:pPr>
      <w:r>
        <w:rPr>
          <w:rFonts w:ascii="Times New Roman"/>
          <w:b w:val="false"/>
          <w:i w:val="false"/>
          <w:color w:val="000000"/>
          <w:sz w:val="28"/>
        </w:rPr>
        <w:t xml:space="preserve">
      25.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эмитент разрабатывает программу мониторинга и изучения операций клиентов.</w:t>
      </w:r>
    </w:p>
    <w:bookmarkEnd w:id="120"/>
    <w:bookmarkStart w:name="z130" w:id="121"/>
    <w:p>
      <w:pPr>
        <w:spacing w:after="0"/>
        <w:ind w:left="0"/>
        <w:jc w:val="both"/>
      </w:pPr>
      <w:r>
        <w:rPr>
          <w:rFonts w:ascii="Times New Roman"/>
          <w:b w:val="false"/>
          <w:i w:val="false"/>
          <w:color w:val="000000"/>
          <w:sz w:val="28"/>
        </w:rPr>
        <w:t>
      26. В рамках программы мониторинга и изучения операций клиентов эмитентом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bookmarkEnd w:id="121"/>
    <w:bookmarkStart w:name="z131" w:id="122"/>
    <w:p>
      <w:pPr>
        <w:spacing w:after="0"/>
        <w:ind w:left="0"/>
        <w:jc w:val="both"/>
      </w:pPr>
      <w:r>
        <w:rPr>
          <w:rFonts w:ascii="Times New Roman"/>
          <w:b w:val="false"/>
          <w:i w:val="false"/>
          <w:color w:val="000000"/>
          <w:sz w:val="28"/>
        </w:rPr>
        <w:t>
      27. Программа мониторинга и изучения операций клиентов включает, но не ограничивается:</w:t>
      </w:r>
    </w:p>
    <w:bookmarkEnd w:id="122"/>
    <w:bookmarkStart w:name="z132" w:id="123"/>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эмитентами самостоятельно;</w:t>
      </w:r>
    </w:p>
    <w:bookmarkEnd w:id="123"/>
    <w:bookmarkStart w:name="z133" w:id="124"/>
    <w:p>
      <w:pPr>
        <w:spacing w:after="0"/>
        <w:ind w:left="0"/>
        <w:jc w:val="both"/>
      </w:pPr>
      <w:r>
        <w:rPr>
          <w:rFonts w:ascii="Times New Roman"/>
          <w:b w:val="false"/>
          <w:i w:val="false"/>
          <w:color w:val="000000"/>
          <w:sz w:val="28"/>
        </w:rPr>
        <w:t>
      2) порядок, основания и срок принятия ответственным работником решения о квалификации операции клиента;</w:t>
      </w:r>
    </w:p>
    <w:bookmarkEnd w:id="124"/>
    <w:bookmarkStart w:name="z134" w:id="125"/>
    <w:p>
      <w:pPr>
        <w:spacing w:after="0"/>
        <w:ind w:left="0"/>
        <w:jc w:val="both"/>
      </w:pPr>
      <w:r>
        <w:rPr>
          <w:rFonts w:ascii="Times New Roman"/>
          <w:b w:val="false"/>
          <w:i w:val="false"/>
          <w:color w:val="000000"/>
          <w:sz w:val="28"/>
        </w:rPr>
        <w:t>
      3) порядок представления в уполномоченный орган сообщений о пороговых и подозрительных операциях.</w:t>
      </w:r>
    </w:p>
    <w:bookmarkEnd w:id="125"/>
    <w:bookmarkStart w:name="z135" w:id="126"/>
    <w:p>
      <w:pPr>
        <w:spacing w:after="0"/>
        <w:ind w:left="0"/>
        <w:jc w:val="both"/>
      </w:pPr>
      <w:r>
        <w:rPr>
          <w:rFonts w:ascii="Times New Roman"/>
          <w:b w:val="false"/>
          <w:i w:val="false"/>
          <w:color w:val="000000"/>
          <w:sz w:val="28"/>
        </w:rPr>
        <w:t>
      28.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эмитента, выявивший указанную операцию, направляет сообщение о такой операции ответственному работнику.</w:t>
      </w:r>
    </w:p>
    <w:bookmarkEnd w:id="126"/>
    <w:bookmarkStart w:name="z136" w:id="127"/>
    <w:p>
      <w:pPr>
        <w:spacing w:after="0"/>
        <w:ind w:left="0"/>
        <w:jc w:val="left"/>
      </w:pPr>
      <w:r>
        <w:rPr>
          <w:rFonts w:ascii="Times New Roman"/>
          <w:b/>
          <w:i w:val="false"/>
          <w:color w:val="000000"/>
        </w:rPr>
        <w:t xml:space="preserve"> Глава 6. Программа подготовки и обучения работников эмитента по вопросам ПОД/ФТ/ФРОМУ</w:t>
      </w:r>
    </w:p>
    <w:bookmarkEnd w:id="127"/>
    <w:bookmarkStart w:name="z137" w:id="128"/>
    <w:p>
      <w:pPr>
        <w:spacing w:after="0"/>
        <w:ind w:left="0"/>
        <w:jc w:val="both"/>
      </w:pPr>
      <w:r>
        <w:rPr>
          <w:rFonts w:ascii="Times New Roman"/>
          <w:b w:val="false"/>
          <w:i w:val="false"/>
          <w:color w:val="000000"/>
          <w:sz w:val="28"/>
        </w:rPr>
        <w:t>
      29. Целью Программы подготовки и обучения работников эмитента по вопросам ПОД/ФТ/ФРОМУ (далее – Программа обучения) является получение работниками эмитента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эмитента в сфере ПОД/ФТ/ФРОМУ.</w:t>
      </w:r>
    </w:p>
    <w:bookmarkEnd w:id="128"/>
    <w:bookmarkStart w:name="z138" w:id="129"/>
    <w:p>
      <w:pPr>
        <w:spacing w:after="0"/>
        <w:ind w:left="0"/>
        <w:jc w:val="both"/>
      </w:pPr>
      <w:r>
        <w:rPr>
          <w:rFonts w:ascii="Times New Roman"/>
          <w:b w:val="false"/>
          <w:i w:val="false"/>
          <w:color w:val="000000"/>
          <w:sz w:val="28"/>
        </w:rPr>
        <w:t xml:space="preserve">
      30.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ПОД/ФТ/ФРОМУ.</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