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5450" w14:textId="33f5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29 октября 2025 года № 397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7 апреля 2026 года № 126. Зарегистрирован в Министерстве юстиции Республики Казахстан 9 апреля 2026 года № 38381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октября 2025 года № 397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 (зарегистрирован в Реестре государственной регистрации нормативных правовых актов № 37267)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выявления земельных участков, не используемых в соответствующих целях или используемых с нарушением законодательства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"6. Источниками информации для мониторинга земель служат результаты систематических наблюдений, наземных съемок, обследований, инвентаризаций, материалы за использованием и охраной земель, архивные данные, данные дистанционного зондирования земель, сведения, полученные из государственных цифровых систем и цифровых ресурсов.";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"7. Мониторинг осуществляется уполномоченным органом по земельным отношениям по результатам:</w:t>
      </w:r>
    </w:p>
    <w:bookmarkEnd w:id="4"/>
    <w:bookmarkStart w:name="z12" w:id="5"/>
    <w:p>
      <w:pPr>
        <w:spacing w:after="0"/>
        <w:ind w:left="0"/>
        <w:jc w:val="both"/>
      </w:pPr>
      <w:r>
        <w:rPr>
          <w:rFonts w:ascii="Times New Roman"/>
          <w:b w:val="false"/>
          <w:i w:val="false"/>
          <w:color w:val="000000"/>
          <w:sz w:val="28"/>
        </w:rPr>
        <w:t>
      1) инвентаризации земель, проводимой по инициативе местного исполнительного органа области, города республиканского значения, столицы, района, города областного значения (далее – местный исполнительный орган);</w:t>
      </w:r>
    </w:p>
    <w:bookmarkEnd w:id="5"/>
    <w:bookmarkStart w:name="z13" w:id="6"/>
    <w:p>
      <w:pPr>
        <w:spacing w:after="0"/>
        <w:ind w:left="0"/>
        <w:jc w:val="both"/>
      </w:pPr>
      <w:r>
        <w:rPr>
          <w:rFonts w:ascii="Times New Roman"/>
          <w:b w:val="false"/>
          <w:i w:val="false"/>
          <w:color w:val="000000"/>
          <w:sz w:val="28"/>
        </w:rPr>
        <w:t>
      2) анализа информации из государственного градостроительного кадастра о строящихся (намечаемых к строительству) объектах на выделенных под строительство земельных участках;</w:t>
      </w:r>
    </w:p>
    <w:bookmarkEnd w:id="6"/>
    <w:bookmarkStart w:name="z14" w:id="7"/>
    <w:p>
      <w:pPr>
        <w:spacing w:after="0"/>
        <w:ind w:left="0"/>
        <w:jc w:val="both"/>
      </w:pPr>
      <w:r>
        <w:rPr>
          <w:rFonts w:ascii="Times New Roman"/>
          <w:b w:val="false"/>
          <w:i w:val="false"/>
          <w:color w:val="000000"/>
          <w:sz w:val="28"/>
        </w:rPr>
        <w:t xml:space="preserve">
      3) мониторинга строящихся (намечаемых к строительству) объектов и комплексов, проведенного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13 ноября 2014 года № 86 "Об утверждении Правил определения порядка ведения мониторинга строящихся (намечаемых к строительству) объектов и комплексов" (зарегистрирован в Реестре государственной регистрации нормативных правовых актов под № 9981);</w:t>
      </w:r>
    </w:p>
    <w:bookmarkEnd w:id="7"/>
    <w:bookmarkStart w:name="z15" w:id="8"/>
    <w:p>
      <w:pPr>
        <w:spacing w:after="0"/>
        <w:ind w:left="0"/>
        <w:jc w:val="both"/>
      </w:pPr>
      <w:r>
        <w:rPr>
          <w:rFonts w:ascii="Times New Roman"/>
          <w:b w:val="false"/>
          <w:i w:val="false"/>
          <w:color w:val="000000"/>
          <w:sz w:val="28"/>
        </w:rPr>
        <w:t>
      4) получения информации из цифровой системы единого государственного кадастра недвижимости.";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"8. При осуществлении мониторинга земельных участков уполномоченный орган по земельным отношениям направляет соответствующие запросы по земельным участкам, предоставленным для строительства объектов, сроки освоения которых истекли либо истекают до конца соответствующего квартала календарного года, в:</w:t>
      </w:r>
    </w:p>
    <w:bookmarkEnd w:id="9"/>
    <w:bookmarkStart w:name="z18" w:id="10"/>
    <w:p>
      <w:pPr>
        <w:spacing w:after="0"/>
        <w:ind w:left="0"/>
        <w:jc w:val="both"/>
      </w:pPr>
      <w:r>
        <w:rPr>
          <w:rFonts w:ascii="Times New Roman"/>
          <w:b w:val="false"/>
          <w:i w:val="false"/>
          <w:color w:val="000000"/>
          <w:sz w:val="28"/>
        </w:rPr>
        <w:t>
      1) структурное подразделение соответствующего местного исполнительного органа, осуществляющего функции в сфере архитектуры и градостроительства – для получения сведений из государственного градостроительного кадастра о строящихся (намечаемых к строительству) объектах на таких земельных участках;</w:t>
      </w:r>
    </w:p>
    <w:bookmarkEnd w:id="10"/>
    <w:bookmarkStart w:name="z19" w:id="11"/>
    <w:p>
      <w:pPr>
        <w:spacing w:after="0"/>
        <w:ind w:left="0"/>
        <w:jc w:val="both"/>
      </w:pPr>
      <w:r>
        <w:rPr>
          <w:rFonts w:ascii="Times New Roman"/>
          <w:b w:val="false"/>
          <w:i w:val="false"/>
          <w:color w:val="000000"/>
          <w:sz w:val="28"/>
        </w:rPr>
        <w:t>
      2) структурное подразделение соответствующего местного исполнительного органа, осуществляющего функции государственного архитектурно-строительного контроля – для получения сведений по уведомлениям о начале производства строительно-монтажных работ (на начало строительства), а также результатам мониторинга строящихся (намечаемых к строительству) объектов и комплексов с указанием срока их строительства на таких земельных участках;</w:t>
      </w:r>
    </w:p>
    <w:bookmarkEnd w:id="11"/>
    <w:bookmarkStart w:name="z20" w:id="12"/>
    <w:p>
      <w:pPr>
        <w:spacing w:after="0"/>
        <w:ind w:left="0"/>
        <w:jc w:val="both"/>
      </w:pPr>
      <w:r>
        <w:rPr>
          <w:rFonts w:ascii="Times New Roman"/>
          <w:b w:val="false"/>
          <w:i w:val="false"/>
          <w:color w:val="000000"/>
          <w:sz w:val="28"/>
        </w:rPr>
        <w:t>
      3) Государственную корпорацию "Правительство для граждан" – для получения сведений из цифровой системы единого государственного кадастра недвижимости по идентификационным характеристикам земельного участка (кадастровый номер, целевое назначение, площадь, а также сведения о правоустанавливающих документах на земельный участок), а также сведений о государственной регистрации прав на недвижимое имущество и обременениях.";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"14. Источниками информации для мониторинга земель служат результаты систематических наблюдений, наземных съемок, обследований, инвентаризаций, материалы за использованием и охраной земель, архивные данные, данные дистанционного зондирования земель, сведения, полученные из государственных цифровых систем и цифровых ресурсов.".</w:t>
      </w:r>
    </w:p>
    <w:bookmarkEnd w:id="13"/>
    <w:bookmarkStart w:name="z23" w:id="14"/>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14"/>
    <w:bookmarkStart w:name="z24"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5"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6"/>
    <w:bookmarkStart w:name="z26"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7"/>
    <w:bookmarkStart w:name="z27" w:id="18"/>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29"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