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081a" w14:textId="c300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признаков контроля, признаков крупного участника банка, банковского холдинга, значительного участия в капитале организации и внесении изменений в постановление Правления Национального Банка Республики Казахстан от 2 июля 2019 года № 113 "Об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апреля 2026 года № 56. Зарегистрировано в Министерстве юстиции Республики Казахстан 8 апреля 2026 года № 38360</w:t>
      </w:r>
    </w:p>
    <w:p>
      <w:pPr>
        <w:spacing w:after="0"/>
        <w:ind w:left="0"/>
        <w:jc w:val="both"/>
      </w:pPr>
      <w:bookmarkStart w:name="z4" w:id="0"/>
      <w:r>
        <w:rPr>
          <w:rFonts w:ascii="Times New Roman"/>
          <w:b w:val="false"/>
          <w:i w:val="false"/>
          <w:color w:val="000000"/>
          <w:sz w:val="28"/>
        </w:rPr>
        <w:t xml:space="preserve">
      В соответствии с абзацем пятым </w:t>
      </w:r>
      <w:r>
        <w:rPr>
          <w:rFonts w:ascii="Times New Roman"/>
          <w:b w:val="false"/>
          <w:i w:val="false"/>
          <w:color w:val="000000"/>
          <w:sz w:val="28"/>
        </w:rPr>
        <w:t>подпункта 4)</w:t>
      </w:r>
      <w:r>
        <w:rPr>
          <w:rFonts w:ascii="Times New Roman"/>
          <w:b w:val="false"/>
          <w:i w:val="false"/>
          <w:color w:val="000000"/>
          <w:sz w:val="28"/>
        </w:rPr>
        <w:t xml:space="preserve">, абзацем третьим </w:t>
      </w:r>
      <w:r>
        <w:rPr>
          <w:rFonts w:ascii="Times New Roman"/>
          <w:b w:val="false"/>
          <w:i w:val="false"/>
          <w:color w:val="000000"/>
          <w:sz w:val="28"/>
        </w:rPr>
        <w:t>подпункта 10)</w:t>
      </w:r>
      <w:r>
        <w:rPr>
          <w:rFonts w:ascii="Times New Roman"/>
          <w:b w:val="false"/>
          <w:i w:val="false"/>
          <w:color w:val="000000"/>
          <w:sz w:val="28"/>
        </w:rPr>
        <w:t xml:space="preserve">, абзацем третьим </w:t>
      </w:r>
      <w:r>
        <w:rPr>
          <w:rFonts w:ascii="Times New Roman"/>
          <w:b w:val="false"/>
          <w:i w:val="false"/>
          <w:color w:val="000000"/>
          <w:sz w:val="28"/>
        </w:rPr>
        <w:t>подпункта 11)</w:t>
      </w:r>
      <w:r>
        <w:rPr>
          <w:rFonts w:ascii="Times New Roman"/>
          <w:b w:val="false"/>
          <w:i w:val="false"/>
          <w:color w:val="000000"/>
          <w:sz w:val="28"/>
        </w:rPr>
        <w:t xml:space="preserve">, абзацем первым </w:t>
      </w:r>
      <w:r>
        <w:rPr>
          <w:rFonts w:ascii="Times New Roman"/>
          <w:b w:val="false"/>
          <w:i w:val="false"/>
          <w:color w:val="000000"/>
          <w:sz w:val="28"/>
        </w:rPr>
        <w:t>подпункта 35)</w:t>
      </w:r>
      <w:r>
        <w:rPr>
          <w:rFonts w:ascii="Times New Roman"/>
          <w:b w:val="false"/>
          <w:i w:val="false"/>
          <w:color w:val="000000"/>
          <w:sz w:val="28"/>
        </w:rPr>
        <w:t xml:space="preserve"> статьи 1, </w:t>
      </w:r>
      <w:r>
        <w:rPr>
          <w:rFonts w:ascii="Times New Roman"/>
          <w:b w:val="false"/>
          <w:i w:val="false"/>
          <w:color w:val="000000"/>
          <w:sz w:val="28"/>
        </w:rPr>
        <w:t>подпунктом 8)</w:t>
      </w:r>
      <w:r>
        <w:rPr>
          <w:rFonts w:ascii="Times New Roman"/>
          <w:b w:val="false"/>
          <w:i w:val="false"/>
          <w:color w:val="000000"/>
          <w:sz w:val="28"/>
        </w:rPr>
        <w:t xml:space="preserve"> пункта 5, </w:t>
      </w:r>
      <w:r>
        <w:rPr>
          <w:rFonts w:ascii="Times New Roman"/>
          <w:b w:val="false"/>
          <w:i w:val="false"/>
          <w:color w:val="000000"/>
          <w:sz w:val="28"/>
        </w:rPr>
        <w:t>подпунктом 6)</w:t>
      </w:r>
      <w:r>
        <w:rPr>
          <w:rFonts w:ascii="Times New Roman"/>
          <w:b w:val="false"/>
          <w:i w:val="false"/>
          <w:color w:val="000000"/>
          <w:sz w:val="28"/>
        </w:rPr>
        <w:t xml:space="preserve"> пункта 6, </w:t>
      </w:r>
      <w:r>
        <w:rPr>
          <w:rFonts w:ascii="Times New Roman"/>
          <w:b w:val="false"/>
          <w:i w:val="false"/>
          <w:color w:val="000000"/>
          <w:sz w:val="28"/>
        </w:rPr>
        <w:t>пунктом 12</w:t>
      </w:r>
      <w:r>
        <w:rPr>
          <w:rFonts w:ascii="Times New Roman"/>
          <w:b w:val="false"/>
          <w:i w:val="false"/>
          <w:color w:val="000000"/>
          <w:sz w:val="28"/>
        </w:rPr>
        <w:t xml:space="preserve"> статьи 9 Закона Республики Казахстан "О банках и банковской деятельности"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признаков контроля, признаков крупного участника банка, банковского холдинга, значительного участия в капитале организации.</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июля 2019 года № 113 "Об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 (зарегистрировано в Реестре государственной регистрации нормативных правовых актов под № 18996)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иным образом";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3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4"/>
    <w:bookmarkStart w:name="z11" w:id="5"/>
    <w:p>
      <w:pPr>
        <w:spacing w:after="0"/>
        <w:ind w:left="0"/>
        <w:jc w:val="both"/>
      </w:pPr>
      <w:r>
        <w:rPr>
          <w:rFonts w:ascii="Times New Roman"/>
          <w:b w:val="false"/>
          <w:i w:val="false"/>
          <w:color w:val="000000"/>
          <w:sz w:val="28"/>
        </w:rPr>
        <w:t>
      1. Установить случай наличия возможности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иным образом, когда одно юридическое лицо финансирует другое юридическое лицо или организацию, не являющуюся юридическим лицом, (далее - организация, являющаяся подконтрольной), должностным лицом (за исключением независимого директора) и (или) крупным акционером (крупным участником) или учредителем, которых являются должностное лицо и (или) руководящий работник (за исключением независимого директора) финансирующего (финансирующих) лица (лиц), в размере, превышающем собственный капитал организации, являющейся подконтрольной.</w:t>
      </w:r>
    </w:p>
    <w:bookmarkEnd w:id="5"/>
    <w:bookmarkStart w:name="z12" w:id="6"/>
    <w:p>
      <w:pPr>
        <w:spacing w:after="0"/>
        <w:ind w:left="0"/>
        <w:jc w:val="both"/>
      </w:pPr>
      <w:r>
        <w:rPr>
          <w:rFonts w:ascii="Times New Roman"/>
          <w:b w:val="false"/>
          <w:i w:val="false"/>
          <w:color w:val="000000"/>
          <w:sz w:val="28"/>
        </w:rPr>
        <w:t>
      Для целей настоящего пункта:</w:t>
      </w:r>
    </w:p>
    <w:bookmarkEnd w:id="6"/>
    <w:bookmarkStart w:name="z13" w:id="7"/>
    <w:p>
      <w:pPr>
        <w:spacing w:after="0"/>
        <w:ind w:left="0"/>
        <w:jc w:val="both"/>
      </w:pPr>
      <w:r>
        <w:rPr>
          <w:rFonts w:ascii="Times New Roman"/>
          <w:b w:val="false"/>
          <w:i w:val="false"/>
          <w:color w:val="000000"/>
          <w:sz w:val="28"/>
        </w:rPr>
        <w:t>
      под организацией, являющейся подконтрольной, понимается юридическое лицо или организация, не являющаяся юридическим лицом, решения которого определяются страховой (перестраховочной) организацией самостоятельно либо совместно с одним или несколькими лицами, либо юридическое лицо, являющееся страховой (перестраховочной) организацией, решения которого определяются юридическим лицом самостоятельно либо совместно с одним или несколькими лицами;</w:t>
      </w:r>
    </w:p>
    <w:bookmarkEnd w:id="7"/>
    <w:bookmarkStart w:name="z14" w:id="8"/>
    <w:p>
      <w:pPr>
        <w:spacing w:after="0"/>
        <w:ind w:left="0"/>
        <w:jc w:val="both"/>
      </w:pPr>
      <w:r>
        <w:rPr>
          <w:rFonts w:ascii="Times New Roman"/>
          <w:b w:val="false"/>
          <w:i w:val="false"/>
          <w:color w:val="000000"/>
          <w:sz w:val="28"/>
        </w:rPr>
        <w:t>
      под лицом, самостоятельно либо совместно с одним или несколькими лицами определяющим решения юридического лица или организации, не являющейся юридическим лицом, понимается юридическое лицо, самостоятельно либо совместно с одним или несколькими лицами определяющее решения страховой (перестраховочной) организации, либо страховая (перестраховочная) организация, самостоятельно либо совместно с одним или несколькими лицами определяющая решения юридического лица или организации, не являющейся юридическим лицом.".</w:t>
      </w:r>
    </w:p>
    <w:bookmarkEnd w:id="8"/>
    <w:bookmarkStart w:name="z15" w:id="9"/>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9"/>
    <w:bookmarkStart w:name="z16" w:id="1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0"/>
    <w:bookmarkStart w:name="z17" w:id="11"/>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11"/>
    <w:bookmarkStart w:name="z18"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2"/>
    <w:bookmarkStart w:name="z19" w:id="13"/>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3"/>
    <w:bookmarkStart w:name="z20" w:id="1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апреля 2026 года № 56</w:t>
            </w:r>
          </w:p>
        </w:tc>
      </w:tr>
    </w:tbl>
    <w:bookmarkStart w:name="z23" w:id="15"/>
    <w:p>
      <w:pPr>
        <w:spacing w:after="0"/>
        <w:ind w:left="0"/>
        <w:jc w:val="left"/>
      </w:pPr>
      <w:r>
        <w:rPr>
          <w:rFonts w:ascii="Times New Roman"/>
          <w:b/>
          <w:i w:val="false"/>
          <w:color w:val="000000"/>
        </w:rPr>
        <w:t xml:space="preserve"> Правила установления признаков контроля, признаков крупного участника банка, банковского холдинга, значительного участия в капитале организации</w:t>
      </w:r>
    </w:p>
    <w:bookmarkEnd w:id="15"/>
    <w:bookmarkStart w:name="z24" w:id="16"/>
    <w:p>
      <w:pPr>
        <w:spacing w:after="0"/>
        <w:ind w:left="0"/>
        <w:jc w:val="both"/>
      </w:pPr>
      <w:r>
        <w:rPr>
          <w:rFonts w:ascii="Times New Roman"/>
          <w:b w:val="false"/>
          <w:i w:val="false"/>
          <w:color w:val="000000"/>
          <w:sz w:val="28"/>
        </w:rPr>
        <w:t xml:space="preserve">
      1. Настоящие Правила установления признаков контроля, признаков крупного участника банка, банковского холдинга, значительного участия в капитале организации (далее – Правила) разработаны в соответствии с абзацем пятым </w:t>
      </w:r>
      <w:r>
        <w:rPr>
          <w:rFonts w:ascii="Times New Roman"/>
          <w:b w:val="false"/>
          <w:i w:val="false"/>
          <w:color w:val="000000"/>
          <w:sz w:val="28"/>
        </w:rPr>
        <w:t>подпункта 4)</w:t>
      </w:r>
      <w:r>
        <w:rPr>
          <w:rFonts w:ascii="Times New Roman"/>
          <w:b w:val="false"/>
          <w:i w:val="false"/>
          <w:color w:val="000000"/>
          <w:sz w:val="28"/>
        </w:rPr>
        <w:t xml:space="preserve">, абзацем третьим </w:t>
      </w:r>
      <w:r>
        <w:rPr>
          <w:rFonts w:ascii="Times New Roman"/>
          <w:b w:val="false"/>
          <w:i w:val="false"/>
          <w:color w:val="000000"/>
          <w:sz w:val="28"/>
        </w:rPr>
        <w:t>подпункта 10)</w:t>
      </w:r>
      <w:r>
        <w:rPr>
          <w:rFonts w:ascii="Times New Roman"/>
          <w:b w:val="false"/>
          <w:i w:val="false"/>
          <w:color w:val="000000"/>
          <w:sz w:val="28"/>
        </w:rPr>
        <w:t xml:space="preserve">, абзацем третьим </w:t>
      </w:r>
      <w:r>
        <w:rPr>
          <w:rFonts w:ascii="Times New Roman"/>
          <w:b w:val="false"/>
          <w:i w:val="false"/>
          <w:color w:val="000000"/>
          <w:sz w:val="28"/>
        </w:rPr>
        <w:t>подпункта 11)</w:t>
      </w:r>
      <w:r>
        <w:rPr>
          <w:rFonts w:ascii="Times New Roman"/>
          <w:b w:val="false"/>
          <w:i w:val="false"/>
          <w:color w:val="000000"/>
          <w:sz w:val="28"/>
        </w:rPr>
        <w:t xml:space="preserve">, абзацем первым </w:t>
      </w:r>
      <w:r>
        <w:rPr>
          <w:rFonts w:ascii="Times New Roman"/>
          <w:b w:val="false"/>
          <w:i w:val="false"/>
          <w:color w:val="000000"/>
          <w:sz w:val="28"/>
        </w:rPr>
        <w:t>подпункта 35)</w:t>
      </w:r>
      <w:r>
        <w:rPr>
          <w:rFonts w:ascii="Times New Roman"/>
          <w:b w:val="false"/>
          <w:i w:val="false"/>
          <w:color w:val="000000"/>
          <w:sz w:val="28"/>
        </w:rPr>
        <w:t xml:space="preserve"> статьи 1, </w:t>
      </w:r>
      <w:r>
        <w:rPr>
          <w:rFonts w:ascii="Times New Roman"/>
          <w:b w:val="false"/>
          <w:i w:val="false"/>
          <w:color w:val="000000"/>
          <w:sz w:val="28"/>
        </w:rPr>
        <w:t>подпунктом 8)</w:t>
      </w:r>
      <w:r>
        <w:rPr>
          <w:rFonts w:ascii="Times New Roman"/>
          <w:b w:val="false"/>
          <w:i w:val="false"/>
          <w:color w:val="000000"/>
          <w:sz w:val="28"/>
        </w:rPr>
        <w:t xml:space="preserve"> пункта 5, </w:t>
      </w:r>
      <w:r>
        <w:rPr>
          <w:rFonts w:ascii="Times New Roman"/>
          <w:b w:val="false"/>
          <w:i w:val="false"/>
          <w:color w:val="000000"/>
          <w:sz w:val="28"/>
        </w:rPr>
        <w:t>подпунктом 6)</w:t>
      </w:r>
      <w:r>
        <w:rPr>
          <w:rFonts w:ascii="Times New Roman"/>
          <w:b w:val="false"/>
          <w:i w:val="false"/>
          <w:color w:val="000000"/>
          <w:sz w:val="28"/>
        </w:rPr>
        <w:t xml:space="preserve"> пункта 6, </w:t>
      </w:r>
      <w:r>
        <w:rPr>
          <w:rFonts w:ascii="Times New Roman"/>
          <w:b w:val="false"/>
          <w:i w:val="false"/>
          <w:color w:val="000000"/>
          <w:sz w:val="28"/>
        </w:rPr>
        <w:t>пунктом 12</w:t>
      </w:r>
      <w:r>
        <w:rPr>
          <w:rFonts w:ascii="Times New Roman"/>
          <w:b w:val="false"/>
          <w:i w:val="false"/>
          <w:color w:val="000000"/>
          <w:sz w:val="28"/>
        </w:rPr>
        <w:t xml:space="preserve"> статьи 9 Закона Республики Казахстан "О банках и банковской деятельности в Республике Казахстан" (далее – Закон о банках) и определяют порядок установления признаков контроля, признаков крупного участника банка, банковского холдинга, значительного участия в капитале организации.</w:t>
      </w:r>
    </w:p>
    <w:bookmarkEnd w:id="16"/>
    <w:bookmarkStart w:name="z25" w:id="17"/>
    <w:p>
      <w:pPr>
        <w:spacing w:after="0"/>
        <w:ind w:left="0"/>
        <w:jc w:val="both"/>
      </w:pPr>
      <w:r>
        <w:rPr>
          <w:rFonts w:ascii="Times New Roman"/>
          <w:b w:val="false"/>
          <w:i w:val="false"/>
          <w:color w:val="000000"/>
          <w:sz w:val="28"/>
        </w:rPr>
        <w:t>
      2. Для целей установления признаков крупного участника банка к случаю оказания физическим или юридическим лицом прямого и (или) косвенного влияния на принимаемые банком решения (голосования) десятью или более процентами голосующих акций банка иным образом относится предоставление финансирования банку в размере, превышающем десять процентов собственного капитала данного банка, на любом из следующих условий:</w:t>
      </w:r>
    </w:p>
    <w:bookmarkEnd w:id="17"/>
    <w:bookmarkStart w:name="z26" w:id="18"/>
    <w:p>
      <w:pPr>
        <w:spacing w:after="0"/>
        <w:ind w:left="0"/>
        <w:jc w:val="both"/>
      </w:pPr>
      <w:r>
        <w:rPr>
          <w:rFonts w:ascii="Times New Roman"/>
          <w:b w:val="false"/>
          <w:i w:val="false"/>
          <w:color w:val="000000"/>
          <w:sz w:val="28"/>
        </w:rPr>
        <w:t>
      1) взимание вознаграждения по займу ниже, чем по условиям, на которых банк привлекает аналогичные займы у третьих лиц;</w:t>
      </w:r>
    </w:p>
    <w:bookmarkEnd w:id="18"/>
    <w:bookmarkStart w:name="z27" w:id="19"/>
    <w:p>
      <w:pPr>
        <w:spacing w:after="0"/>
        <w:ind w:left="0"/>
        <w:jc w:val="both"/>
      </w:pPr>
      <w:r>
        <w:rPr>
          <w:rFonts w:ascii="Times New Roman"/>
          <w:b w:val="false"/>
          <w:i w:val="false"/>
          <w:color w:val="000000"/>
          <w:sz w:val="28"/>
        </w:rPr>
        <w:t>
      2) выплата банком вознаграждения по депозитам, размещенным в банке, ниже, чем по условиям, предлагаемым им третьим лицам по аналогичным депозитам;</w:t>
      </w:r>
    </w:p>
    <w:bookmarkEnd w:id="19"/>
    <w:bookmarkStart w:name="z28" w:id="20"/>
    <w:p>
      <w:pPr>
        <w:spacing w:after="0"/>
        <w:ind w:left="0"/>
        <w:jc w:val="both"/>
      </w:pPr>
      <w:r>
        <w:rPr>
          <w:rFonts w:ascii="Times New Roman"/>
          <w:b w:val="false"/>
          <w:i w:val="false"/>
          <w:color w:val="000000"/>
          <w:sz w:val="28"/>
        </w:rPr>
        <w:t>
      3) предоставление банку отсрочки по уплате вознаграждения, погашению основного долга и (или) иных платежей больше, чем по аналогичным операциям с третьими лицами.</w:t>
      </w:r>
    </w:p>
    <w:bookmarkEnd w:id="20"/>
    <w:bookmarkStart w:name="z29" w:id="21"/>
    <w:p>
      <w:pPr>
        <w:spacing w:after="0"/>
        <w:ind w:left="0"/>
        <w:jc w:val="both"/>
      </w:pPr>
      <w:r>
        <w:rPr>
          <w:rFonts w:ascii="Times New Roman"/>
          <w:b w:val="false"/>
          <w:i w:val="false"/>
          <w:color w:val="000000"/>
          <w:sz w:val="28"/>
        </w:rPr>
        <w:t>
      3. Для целей установления признаков банковского холдинга к случаю оказания юридическим лицом прямого и (или) косвенного влияния на принимаемые банком решения (голосования) двадцатью пятью или более процентами голосующих акций банка иным образом относится предоставление финансирования банку в размере, превышающем двадцать пять процентов собственного капитала данного банка, на условиях, предусмотренных в пункте 2 Правил.</w:t>
      </w:r>
    </w:p>
    <w:bookmarkEnd w:id="21"/>
    <w:bookmarkStart w:name="z30" w:id="22"/>
    <w:p>
      <w:pPr>
        <w:spacing w:after="0"/>
        <w:ind w:left="0"/>
        <w:jc w:val="both"/>
      </w:pPr>
      <w:r>
        <w:rPr>
          <w:rFonts w:ascii="Times New Roman"/>
          <w:b w:val="false"/>
          <w:i w:val="false"/>
          <w:color w:val="000000"/>
          <w:sz w:val="28"/>
        </w:rPr>
        <w:t xml:space="preserve">
      4. Положения, предусмотренные пунктами 2 и 3 Правил, не распространяются на лиц, указанных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9 Закона о банках, а также на Национальный Банк Республики Казахстан и его дочерние организации, акционерное общество "Фонд национального благосостояния "Самрук-Қазына", акционерное общество "Национальный инвестиционный холдинг "Байтерек" и их дочерние организации, международные финансовые организации.</w:t>
      </w:r>
    </w:p>
    <w:bookmarkEnd w:id="22"/>
    <w:bookmarkStart w:name="z31" w:id="23"/>
    <w:p>
      <w:pPr>
        <w:spacing w:after="0"/>
        <w:ind w:left="0"/>
        <w:jc w:val="both"/>
      </w:pPr>
      <w:r>
        <w:rPr>
          <w:rFonts w:ascii="Times New Roman"/>
          <w:b w:val="false"/>
          <w:i w:val="false"/>
          <w:color w:val="000000"/>
          <w:sz w:val="28"/>
        </w:rPr>
        <w:t>
      5. Для целей признания лиц, совместно являющимися крупным участником банка (банковским холдингом), к случаям совместного влияния на решения банка иным образом лицами, прямо и (или) косвенно владеющими и (или) пользующимися, и (или) распоряжающимися в совокупности десятью или более (двадцатью пятью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(далее – голосующие акции), относятся следующие случаи:</w:t>
      </w:r>
    </w:p>
    <w:bookmarkEnd w:id="23"/>
    <w:bookmarkStart w:name="z32" w:id="24"/>
    <w:p>
      <w:pPr>
        <w:spacing w:after="0"/>
        <w:ind w:left="0"/>
        <w:jc w:val="both"/>
      </w:pPr>
      <w:r>
        <w:rPr>
          <w:rFonts w:ascii="Times New Roman"/>
          <w:b w:val="false"/>
          <w:i w:val="false"/>
          <w:color w:val="000000"/>
          <w:sz w:val="28"/>
        </w:rPr>
        <w:t xml:space="preserve">
      1) приобретение двумя и более лицами в совокупности десяти и более (двадцати пяти и более) процентов голосующих акций банка у одного лица в течение девяноста последовательных календарных дней, за исключением случаев, когда такое приобретение осуществляется десятью и более лицами на организованном рынке ценных бумаг, а также на международных фондовых биржах, указанных в Списке международных фондовых бирж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24"/>
    <w:bookmarkStart w:name="z33" w:id="25"/>
    <w:p>
      <w:pPr>
        <w:spacing w:after="0"/>
        <w:ind w:left="0"/>
        <w:jc w:val="both"/>
      </w:pPr>
      <w:r>
        <w:rPr>
          <w:rFonts w:ascii="Times New Roman"/>
          <w:b w:val="false"/>
          <w:i w:val="false"/>
          <w:color w:val="000000"/>
          <w:sz w:val="28"/>
        </w:rPr>
        <w:t>
      2) получение двумя и более лицами в совокупности десяти и более (двадцати пяти и более) процентов голосующих акций банка в доверительное управление от одного и того же лица в течение двенадцати последовательных календарных месяцев, за исключением случаев, когда одним из лиц, принимающих голосующие акции в доверительное управление, является крупный участник банка (банковский холдинг).</w:t>
      </w:r>
    </w:p>
    <w:bookmarkEnd w:id="25"/>
    <w:bookmarkStart w:name="z34" w:id="26"/>
    <w:p>
      <w:pPr>
        <w:spacing w:after="0"/>
        <w:ind w:left="0"/>
        <w:jc w:val="both"/>
      </w:pPr>
      <w:r>
        <w:rPr>
          <w:rFonts w:ascii="Times New Roman"/>
          <w:b w:val="false"/>
          <w:i w:val="false"/>
          <w:color w:val="000000"/>
          <w:sz w:val="28"/>
        </w:rPr>
        <w:t>
      6. Для целей установления признаков контроля к случаю наличия возможности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иным образом относится случай, когда одно юридическое лицо финансирует другое юридическое лицо или организацию, не являющуюся юридическим лицом, (далее - организация, являющаяся подконтрольной), должностным лицом (за исключением независимого директора) и (или) крупным акционером (крупным участником) или учредителем, которых являются должностное лицо и (или) руководящий работник (за исключением независимого директора) финансирующего (финансирующих) лица (лиц), в размере, превышающем собственный капитал организации, являющейся подконтрольной.</w:t>
      </w:r>
    </w:p>
    <w:bookmarkEnd w:id="26"/>
    <w:bookmarkStart w:name="z35" w:id="27"/>
    <w:p>
      <w:pPr>
        <w:spacing w:after="0"/>
        <w:ind w:left="0"/>
        <w:jc w:val="both"/>
      </w:pPr>
      <w:r>
        <w:rPr>
          <w:rFonts w:ascii="Times New Roman"/>
          <w:b w:val="false"/>
          <w:i w:val="false"/>
          <w:color w:val="000000"/>
          <w:sz w:val="28"/>
        </w:rPr>
        <w:t>
      Для целей настоящего пункта:</w:t>
      </w:r>
    </w:p>
    <w:bookmarkEnd w:id="27"/>
    <w:bookmarkStart w:name="z36" w:id="28"/>
    <w:p>
      <w:pPr>
        <w:spacing w:after="0"/>
        <w:ind w:left="0"/>
        <w:jc w:val="both"/>
      </w:pPr>
      <w:r>
        <w:rPr>
          <w:rFonts w:ascii="Times New Roman"/>
          <w:b w:val="false"/>
          <w:i w:val="false"/>
          <w:color w:val="000000"/>
          <w:sz w:val="28"/>
        </w:rPr>
        <w:t>
      под организацией, являющейся подконтрольной, понимается юридическое лицо или организация, не являющаяся юридическим лицом, решения которых определяются банком самостоятельно либо совместно с одним или несколькими лицами, либо юридическое лицо, являющееся банком, решения которого определяются юридическим лицом самостоятельно либо совместно с одним или несколькими лицами;</w:t>
      </w:r>
    </w:p>
    <w:bookmarkEnd w:id="28"/>
    <w:bookmarkStart w:name="z37" w:id="29"/>
    <w:p>
      <w:pPr>
        <w:spacing w:after="0"/>
        <w:ind w:left="0"/>
        <w:jc w:val="both"/>
      </w:pPr>
      <w:r>
        <w:rPr>
          <w:rFonts w:ascii="Times New Roman"/>
          <w:b w:val="false"/>
          <w:i w:val="false"/>
          <w:color w:val="000000"/>
          <w:sz w:val="28"/>
        </w:rPr>
        <w:t>
      под лицом, самостоятельно либо совместно с одним или несколькими лицами определяющим решения юридического лица или организации, не являющейся юридическим лицом, понимается юридическое лицо, самостоятельно либо совместно с одним или несколькими лицами определяющее решения банка, либо банк, самостоятельно либо совместно с одним или несколькими лицами определяющий решения юридического лица или организации, не являющейся юридическим лицом.</w:t>
      </w:r>
    </w:p>
    <w:bookmarkEnd w:id="29"/>
    <w:bookmarkStart w:name="z38" w:id="30"/>
    <w:p>
      <w:pPr>
        <w:spacing w:after="0"/>
        <w:ind w:left="0"/>
        <w:jc w:val="both"/>
      </w:pPr>
      <w:r>
        <w:rPr>
          <w:rFonts w:ascii="Times New Roman"/>
          <w:b w:val="false"/>
          <w:i w:val="false"/>
          <w:color w:val="000000"/>
          <w:sz w:val="28"/>
        </w:rPr>
        <w:t>
      7. Для целей установления признаков значительного участия в капитале организации к случаю прямого и (или) косвенного владения и (или) пользования, и (или) распоряжения иным образом самостоятельно или совместно с одним или несколькими лицами двадцатью и более процентами голосующих акций, долей участия, паев либо других форм долевого участия в организации относится случай, при котором два и более банка, находящиеся под контролем одного лица, приобретают в совокупности двадцать и более процентов голосующих акций, долей участия, паев либо других форм долевого участия в одной организации.</w:t>
      </w:r>
    </w:p>
    <w:bookmarkEnd w:id="30"/>
    <w:bookmarkStart w:name="z39" w:id="31"/>
    <w:p>
      <w:pPr>
        <w:spacing w:after="0"/>
        <w:ind w:left="0"/>
        <w:jc w:val="both"/>
      </w:pPr>
      <w:r>
        <w:rPr>
          <w:rFonts w:ascii="Times New Roman"/>
          <w:b w:val="false"/>
          <w:i w:val="false"/>
          <w:color w:val="000000"/>
          <w:sz w:val="28"/>
        </w:rPr>
        <w:t xml:space="preserve">
      8. Лицо (лица), соответствующее (совместно соответствующие) признакам крупного участника банка или банковского холдинга, предусмотренным в пунктах 2, 3 и 5 Правил, представляет (представляют) в уполномоченный орган по регулированию, контролю и надзору финансового рынка и финансовых организаций (далее – уполномоченный орган) заявление о приобретении соответствующего статуса в течение тридцати календарных дней с момента, когда ему (им) стало известно, что оно (они) соответствует (совместно соответствуют) признакам крупного участника банка или банковского холдинга, если только данное лицо не собирается (данные лица не собираются) принять меры по устранению признаков, предусмотренных в пунктах 2, 3 и 5 Правил, в указанный срок. </w:t>
      </w:r>
    </w:p>
    <w:bookmarkEnd w:id="31"/>
    <w:bookmarkStart w:name="z40" w:id="32"/>
    <w:p>
      <w:pPr>
        <w:spacing w:after="0"/>
        <w:ind w:left="0"/>
        <w:jc w:val="both"/>
      </w:pPr>
      <w:r>
        <w:rPr>
          <w:rFonts w:ascii="Times New Roman"/>
          <w:b w:val="false"/>
          <w:i w:val="false"/>
          <w:color w:val="000000"/>
          <w:sz w:val="28"/>
        </w:rPr>
        <w:t>
      Информация о принятии решения об устранении признаков крупного участника банка или банковского холдинга предоставляется в уполномоченный орган немедленно с даты принятия такого решения.</w:t>
      </w:r>
    </w:p>
    <w:bookmarkEnd w:id="32"/>
    <w:bookmarkStart w:name="z41" w:id="33"/>
    <w:p>
      <w:pPr>
        <w:spacing w:after="0"/>
        <w:ind w:left="0"/>
        <w:jc w:val="both"/>
      </w:pPr>
      <w:r>
        <w:rPr>
          <w:rFonts w:ascii="Times New Roman"/>
          <w:b w:val="false"/>
          <w:i w:val="false"/>
          <w:color w:val="000000"/>
          <w:sz w:val="28"/>
        </w:rPr>
        <w:t>
      После устранения признаков крупного участника банка или банковского холдинга, предусмотренных в пунктах 2, 3 и 5 Правил, лица, указанные в части первой настоящего пункта, немедленно информируют об этом уполномоченный орган с представлением подтверждающих документов.</w:t>
      </w:r>
    </w:p>
    <w:bookmarkEnd w:id="33"/>
    <w:bookmarkStart w:name="z42" w:id="34"/>
    <w:p>
      <w:pPr>
        <w:spacing w:after="0"/>
        <w:ind w:left="0"/>
        <w:jc w:val="both"/>
      </w:pPr>
      <w:r>
        <w:rPr>
          <w:rFonts w:ascii="Times New Roman"/>
          <w:b w:val="false"/>
          <w:i w:val="false"/>
          <w:color w:val="000000"/>
          <w:sz w:val="28"/>
        </w:rPr>
        <w:t>
       В случае не выполнения требований, предусмотренных настоящим пунктом Правил, уполномоченный орган применяет меры надзорного реагирования, предусмотренные Законом о банках, к лицу (лицам), соответствующему (совместно соответствующим) признакам крупного участника банка или банковского холдинга без письменного согласия уполномоченного органа.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установления</w:t>
            </w:r>
            <w:r>
              <w:br/>
            </w:r>
            <w:r>
              <w:rPr>
                <w:rFonts w:ascii="Times New Roman"/>
                <w:b w:val="false"/>
                <w:i w:val="false"/>
                <w:color w:val="000000"/>
                <w:sz w:val="20"/>
              </w:rPr>
              <w:t>признаков контроля, признаков</w:t>
            </w:r>
            <w:r>
              <w:br/>
            </w:r>
            <w:r>
              <w:rPr>
                <w:rFonts w:ascii="Times New Roman"/>
                <w:b w:val="false"/>
                <w:i w:val="false"/>
                <w:color w:val="000000"/>
                <w:sz w:val="20"/>
              </w:rPr>
              <w:t>крупного участника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значительного участия</w:t>
            </w:r>
            <w:r>
              <w:br/>
            </w:r>
            <w:r>
              <w:rPr>
                <w:rFonts w:ascii="Times New Roman"/>
                <w:b w:val="false"/>
                <w:i w:val="false"/>
                <w:color w:val="000000"/>
                <w:sz w:val="20"/>
              </w:rPr>
              <w:t>в капитале организации</w:t>
            </w:r>
          </w:p>
        </w:tc>
      </w:tr>
    </w:tbl>
    <w:bookmarkStart w:name="z44" w:id="35"/>
    <w:p>
      <w:pPr>
        <w:spacing w:after="0"/>
        <w:ind w:left="0"/>
        <w:jc w:val="left"/>
      </w:pPr>
      <w:r>
        <w:rPr>
          <w:rFonts w:ascii="Times New Roman"/>
          <w:b/>
          <w:i w:val="false"/>
          <w:color w:val="000000"/>
        </w:rPr>
        <w:t xml:space="preserve"> Список международных фондовых бирж</w:t>
      </w:r>
    </w:p>
    <w:bookmarkEnd w:id="35"/>
    <w:bookmarkStart w:name="z45" w:id="36"/>
    <w:p>
      <w:pPr>
        <w:spacing w:after="0"/>
        <w:ind w:left="0"/>
        <w:jc w:val="both"/>
      </w:pPr>
      <w:r>
        <w:rPr>
          <w:rFonts w:ascii="Times New Roman"/>
          <w:b w:val="false"/>
          <w:i w:val="false"/>
          <w:color w:val="000000"/>
          <w:sz w:val="28"/>
        </w:rPr>
        <w:t>
      1. Фондовая биржа Австралии (Australian Securities Exchange)</w:t>
      </w:r>
    </w:p>
    <w:bookmarkEnd w:id="36"/>
    <w:bookmarkStart w:name="z46" w:id="37"/>
    <w:p>
      <w:pPr>
        <w:spacing w:after="0"/>
        <w:ind w:left="0"/>
        <w:jc w:val="both"/>
      </w:pPr>
      <w:r>
        <w:rPr>
          <w:rFonts w:ascii="Times New Roman"/>
          <w:b w:val="false"/>
          <w:i w:val="false"/>
          <w:color w:val="000000"/>
          <w:sz w:val="28"/>
        </w:rPr>
        <w:t>
      2. Австрийская фондовая биржа (Wiener bourse AG)</w:t>
      </w:r>
    </w:p>
    <w:bookmarkEnd w:id="37"/>
    <w:bookmarkStart w:name="z47" w:id="38"/>
    <w:p>
      <w:pPr>
        <w:spacing w:after="0"/>
        <w:ind w:left="0"/>
        <w:jc w:val="both"/>
      </w:pPr>
      <w:r>
        <w:rPr>
          <w:rFonts w:ascii="Times New Roman"/>
          <w:b w:val="false"/>
          <w:i w:val="false"/>
          <w:color w:val="000000"/>
          <w:sz w:val="28"/>
        </w:rPr>
        <w:t>
      3. Фондовая биржа США (National Association of Securities Dealers Automated Quotation, NASDAQ)</w:t>
      </w:r>
    </w:p>
    <w:bookmarkEnd w:id="38"/>
    <w:bookmarkStart w:name="z48" w:id="39"/>
    <w:p>
      <w:pPr>
        <w:spacing w:after="0"/>
        <w:ind w:left="0"/>
        <w:jc w:val="both"/>
      </w:pPr>
      <w:r>
        <w:rPr>
          <w:rFonts w:ascii="Times New Roman"/>
          <w:b w:val="false"/>
          <w:i w:val="false"/>
          <w:color w:val="000000"/>
          <w:sz w:val="28"/>
        </w:rPr>
        <w:t>
      4. Европейская фондовая биржа "Евронекст" в Амстердаме (Euronext Amsterdam)</w:t>
      </w:r>
    </w:p>
    <w:bookmarkEnd w:id="39"/>
    <w:bookmarkStart w:name="z49" w:id="40"/>
    <w:p>
      <w:pPr>
        <w:spacing w:after="0"/>
        <w:ind w:left="0"/>
        <w:jc w:val="both"/>
      </w:pPr>
      <w:r>
        <w:rPr>
          <w:rFonts w:ascii="Times New Roman"/>
          <w:b w:val="false"/>
          <w:i w:val="false"/>
          <w:color w:val="000000"/>
          <w:sz w:val="28"/>
        </w:rPr>
        <w:t>
      5. Биржа Международного финансового центра "Астана" (Astana International Exchange, AIX)</w:t>
      </w:r>
    </w:p>
    <w:bookmarkEnd w:id="40"/>
    <w:bookmarkStart w:name="z50" w:id="41"/>
    <w:p>
      <w:pPr>
        <w:spacing w:after="0"/>
        <w:ind w:left="0"/>
        <w:jc w:val="both"/>
      </w:pPr>
      <w:r>
        <w:rPr>
          <w:rFonts w:ascii="Times New Roman"/>
          <w:b w:val="false"/>
          <w:i w:val="false"/>
          <w:color w:val="000000"/>
          <w:sz w:val="28"/>
        </w:rPr>
        <w:t>
      6. Фондовая биржа Афин (Athens Stock Exchange (ATHEX)</w:t>
      </w:r>
    </w:p>
    <w:bookmarkEnd w:id="41"/>
    <w:bookmarkStart w:name="z51" w:id="42"/>
    <w:p>
      <w:pPr>
        <w:spacing w:after="0"/>
        <w:ind w:left="0"/>
        <w:jc w:val="both"/>
      </w:pPr>
      <w:r>
        <w:rPr>
          <w:rFonts w:ascii="Times New Roman"/>
          <w:b w:val="false"/>
          <w:i w:val="false"/>
          <w:color w:val="000000"/>
          <w:sz w:val="28"/>
        </w:rPr>
        <w:t>
      7. Бомбейская фондовая биржа (Bombay Stock Exchange Limited, BSE)</w:t>
      </w:r>
    </w:p>
    <w:bookmarkEnd w:id="42"/>
    <w:bookmarkStart w:name="z52" w:id="43"/>
    <w:p>
      <w:pPr>
        <w:spacing w:after="0"/>
        <w:ind w:left="0"/>
        <w:jc w:val="both"/>
      </w:pPr>
      <w:r>
        <w:rPr>
          <w:rFonts w:ascii="Times New Roman"/>
          <w:b w:val="false"/>
          <w:i w:val="false"/>
          <w:color w:val="000000"/>
          <w:sz w:val="28"/>
        </w:rPr>
        <w:t>
      8. Бразильская фондовая биржа (B3 S.A. – Brasil, Bolsa, Balcão)</w:t>
      </w:r>
    </w:p>
    <w:bookmarkEnd w:id="43"/>
    <w:bookmarkStart w:name="z53" w:id="44"/>
    <w:p>
      <w:pPr>
        <w:spacing w:after="0"/>
        <w:ind w:left="0"/>
        <w:jc w:val="both"/>
      </w:pPr>
      <w:r>
        <w:rPr>
          <w:rFonts w:ascii="Times New Roman"/>
          <w:b w:val="false"/>
          <w:i w:val="false"/>
          <w:color w:val="000000"/>
          <w:sz w:val="28"/>
        </w:rPr>
        <w:t>
      9. Европейская фондовая биржа "Евронекст" в Брюсселе (Euronext Brussels)</w:t>
      </w:r>
    </w:p>
    <w:bookmarkEnd w:id="44"/>
    <w:bookmarkStart w:name="z54" w:id="45"/>
    <w:p>
      <w:pPr>
        <w:spacing w:after="0"/>
        <w:ind w:left="0"/>
        <w:jc w:val="both"/>
      </w:pPr>
      <w:r>
        <w:rPr>
          <w:rFonts w:ascii="Times New Roman"/>
          <w:b w:val="false"/>
          <w:i w:val="false"/>
          <w:color w:val="000000"/>
          <w:sz w:val="28"/>
        </w:rPr>
        <w:t>
      10. Варшавская фондовая биржа (Warsaw Stock Exchange)</w:t>
      </w:r>
    </w:p>
    <w:bookmarkEnd w:id="45"/>
    <w:bookmarkStart w:name="z55" w:id="46"/>
    <w:p>
      <w:pPr>
        <w:spacing w:after="0"/>
        <w:ind w:left="0"/>
        <w:jc w:val="both"/>
      </w:pPr>
      <w:r>
        <w:rPr>
          <w:rFonts w:ascii="Times New Roman"/>
          <w:b w:val="false"/>
          <w:i w:val="false"/>
          <w:color w:val="000000"/>
          <w:sz w:val="28"/>
        </w:rPr>
        <w:t>
      11. Гонконгская фондовая биржа (Hong Kong Exchanges and Clearing)</w:t>
      </w:r>
    </w:p>
    <w:bookmarkEnd w:id="46"/>
    <w:bookmarkStart w:name="z56" w:id="47"/>
    <w:p>
      <w:pPr>
        <w:spacing w:after="0"/>
        <w:ind w:left="0"/>
        <w:jc w:val="both"/>
      </w:pPr>
      <w:r>
        <w:rPr>
          <w:rFonts w:ascii="Times New Roman"/>
          <w:b w:val="false"/>
          <w:i w:val="false"/>
          <w:color w:val="000000"/>
          <w:sz w:val="28"/>
        </w:rPr>
        <w:t>
      12. Фондовая биржа Джакарты (Jakarta Stock Exchange)</w:t>
      </w:r>
    </w:p>
    <w:bookmarkEnd w:id="47"/>
    <w:bookmarkStart w:name="z57" w:id="48"/>
    <w:p>
      <w:pPr>
        <w:spacing w:after="0"/>
        <w:ind w:left="0"/>
        <w:jc w:val="both"/>
      </w:pPr>
      <w:r>
        <w:rPr>
          <w:rFonts w:ascii="Times New Roman"/>
          <w:b w:val="false"/>
          <w:i w:val="false"/>
          <w:color w:val="000000"/>
          <w:sz w:val="28"/>
        </w:rPr>
        <w:t>
      13. Фондовая биржа Новой Зеландии (New Zealand Exchange)</w:t>
      </w:r>
    </w:p>
    <w:bookmarkEnd w:id="48"/>
    <w:bookmarkStart w:name="z58" w:id="49"/>
    <w:p>
      <w:pPr>
        <w:spacing w:after="0"/>
        <w:ind w:left="0"/>
        <w:jc w:val="both"/>
      </w:pPr>
      <w:r>
        <w:rPr>
          <w:rFonts w:ascii="Times New Roman"/>
          <w:b w:val="false"/>
          <w:i w:val="false"/>
          <w:color w:val="000000"/>
          <w:sz w:val="28"/>
        </w:rPr>
        <w:t>
      14. Ирландская фондовая биржа (Euronext Dublin)</w:t>
      </w:r>
    </w:p>
    <w:bookmarkEnd w:id="49"/>
    <w:bookmarkStart w:name="z59" w:id="50"/>
    <w:p>
      <w:pPr>
        <w:spacing w:after="0"/>
        <w:ind w:left="0"/>
        <w:jc w:val="both"/>
      </w:pPr>
      <w:r>
        <w:rPr>
          <w:rFonts w:ascii="Times New Roman"/>
          <w:b w:val="false"/>
          <w:i w:val="false"/>
          <w:color w:val="000000"/>
          <w:sz w:val="28"/>
        </w:rPr>
        <w:t>
      15. Объединенная фондовая биржа Испании (Bolsas y Mercados Españoles (BME), Spain)</w:t>
      </w:r>
    </w:p>
    <w:bookmarkEnd w:id="50"/>
    <w:bookmarkStart w:name="z60" w:id="51"/>
    <w:p>
      <w:pPr>
        <w:spacing w:after="0"/>
        <w:ind w:left="0"/>
        <w:jc w:val="both"/>
      </w:pPr>
      <w:r>
        <w:rPr>
          <w:rFonts w:ascii="Times New Roman"/>
          <w:b w:val="false"/>
          <w:i w:val="false"/>
          <w:color w:val="000000"/>
          <w:sz w:val="28"/>
        </w:rPr>
        <w:t>
      16. Итальянская фондовая биржа (Borsa Italiana SPA)</w:t>
      </w:r>
    </w:p>
    <w:bookmarkEnd w:id="51"/>
    <w:bookmarkStart w:name="z61" w:id="52"/>
    <w:p>
      <w:pPr>
        <w:spacing w:after="0"/>
        <w:ind w:left="0"/>
        <w:jc w:val="both"/>
      </w:pPr>
      <w:r>
        <w:rPr>
          <w:rFonts w:ascii="Times New Roman"/>
          <w:b w:val="false"/>
          <w:i w:val="false"/>
          <w:color w:val="000000"/>
          <w:sz w:val="28"/>
        </w:rPr>
        <w:t>
      17. Фондовая биржа Йоханнесбурга (Южная Африка) (JSE Johannesburg Stock Exchange, South Africa)</w:t>
      </w:r>
    </w:p>
    <w:bookmarkEnd w:id="52"/>
    <w:bookmarkStart w:name="z62" w:id="53"/>
    <w:p>
      <w:pPr>
        <w:spacing w:after="0"/>
        <w:ind w:left="0"/>
        <w:jc w:val="both"/>
      </w:pPr>
      <w:r>
        <w:rPr>
          <w:rFonts w:ascii="Times New Roman"/>
          <w:b w:val="false"/>
          <w:i w:val="false"/>
          <w:color w:val="000000"/>
          <w:sz w:val="28"/>
        </w:rPr>
        <w:t>
      18. Фондовая биржа Копенгагена (Nasdaq Copenhagen)</w:t>
      </w:r>
    </w:p>
    <w:bookmarkEnd w:id="53"/>
    <w:bookmarkStart w:name="z63" w:id="54"/>
    <w:p>
      <w:pPr>
        <w:spacing w:after="0"/>
        <w:ind w:left="0"/>
        <w:jc w:val="both"/>
      </w:pPr>
      <w:r>
        <w:rPr>
          <w:rFonts w:ascii="Times New Roman"/>
          <w:b w:val="false"/>
          <w:i w:val="false"/>
          <w:color w:val="000000"/>
          <w:sz w:val="28"/>
        </w:rPr>
        <w:t>
      19. Объединенная фондовая биржа, в состав которой входят биржи Стокгольма, Хельсинки, Таллина и Риги (Hex Integrated Markets Ltd.)</w:t>
      </w:r>
    </w:p>
    <w:bookmarkEnd w:id="54"/>
    <w:bookmarkStart w:name="z64" w:id="55"/>
    <w:p>
      <w:pPr>
        <w:spacing w:after="0"/>
        <w:ind w:left="0"/>
        <w:jc w:val="both"/>
      </w:pPr>
      <w:r>
        <w:rPr>
          <w:rFonts w:ascii="Times New Roman"/>
          <w:b w:val="false"/>
          <w:i w:val="false"/>
          <w:color w:val="000000"/>
          <w:sz w:val="28"/>
        </w:rPr>
        <w:t>
      20. Европейская фондовая биржа "Евронекст" в Лиссабоне (Euronext Lisbon)</w:t>
      </w:r>
    </w:p>
    <w:bookmarkEnd w:id="55"/>
    <w:bookmarkStart w:name="z65" w:id="56"/>
    <w:p>
      <w:pPr>
        <w:spacing w:after="0"/>
        <w:ind w:left="0"/>
        <w:jc w:val="both"/>
      </w:pPr>
      <w:r>
        <w:rPr>
          <w:rFonts w:ascii="Times New Roman"/>
          <w:b w:val="false"/>
          <w:i w:val="false"/>
          <w:color w:val="000000"/>
          <w:sz w:val="28"/>
        </w:rPr>
        <w:t>
      21. Лондонская фондовая биржа (London Stock Exchange)</w:t>
      </w:r>
    </w:p>
    <w:bookmarkEnd w:id="56"/>
    <w:bookmarkStart w:name="z66" w:id="57"/>
    <w:p>
      <w:pPr>
        <w:spacing w:after="0"/>
        <w:ind w:left="0"/>
        <w:jc w:val="both"/>
      </w:pPr>
      <w:r>
        <w:rPr>
          <w:rFonts w:ascii="Times New Roman"/>
          <w:b w:val="false"/>
          <w:i w:val="false"/>
          <w:color w:val="000000"/>
          <w:sz w:val="28"/>
        </w:rPr>
        <w:t>
      22. Фондовая биржа Люксембурга (Bourse de Luxembourg)</w:t>
      </w:r>
    </w:p>
    <w:bookmarkEnd w:id="57"/>
    <w:bookmarkStart w:name="z67" w:id="58"/>
    <w:p>
      <w:pPr>
        <w:spacing w:after="0"/>
        <w:ind w:left="0"/>
        <w:jc w:val="both"/>
      </w:pPr>
      <w:r>
        <w:rPr>
          <w:rFonts w:ascii="Times New Roman"/>
          <w:b w:val="false"/>
          <w:i w:val="false"/>
          <w:color w:val="000000"/>
          <w:sz w:val="28"/>
        </w:rPr>
        <w:t>
      23. Малазийская фондовая биржа (Bursa Malaysia)</w:t>
      </w:r>
    </w:p>
    <w:bookmarkEnd w:id="58"/>
    <w:bookmarkStart w:name="z68" w:id="59"/>
    <w:p>
      <w:pPr>
        <w:spacing w:after="0"/>
        <w:ind w:left="0"/>
        <w:jc w:val="both"/>
      </w:pPr>
      <w:r>
        <w:rPr>
          <w:rFonts w:ascii="Times New Roman"/>
          <w:b w:val="false"/>
          <w:i w:val="false"/>
          <w:color w:val="000000"/>
          <w:sz w:val="28"/>
        </w:rPr>
        <w:t>
      24. Фондовая биржа Мальты (Malta Stock Exchange)</w:t>
      </w:r>
    </w:p>
    <w:bookmarkEnd w:id="59"/>
    <w:bookmarkStart w:name="z69" w:id="60"/>
    <w:p>
      <w:pPr>
        <w:spacing w:after="0"/>
        <w:ind w:left="0"/>
        <w:jc w:val="both"/>
      </w:pPr>
      <w:r>
        <w:rPr>
          <w:rFonts w:ascii="Times New Roman"/>
          <w:b w:val="false"/>
          <w:i w:val="false"/>
          <w:color w:val="000000"/>
          <w:sz w:val="28"/>
        </w:rPr>
        <w:t>
      25. Мексиканская фондовая биржа (Bolsa Mexicana de Valores, BMV)</w:t>
      </w:r>
    </w:p>
    <w:bookmarkEnd w:id="60"/>
    <w:bookmarkStart w:name="z70" w:id="61"/>
    <w:p>
      <w:pPr>
        <w:spacing w:after="0"/>
        <w:ind w:left="0"/>
        <w:jc w:val="both"/>
      </w:pPr>
      <w:r>
        <w:rPr>
          <w:rFonts w:ascii="Times New Roman"/>
          <w:b w:val="false"/>
          <w:i w:val="false"/>
          <w:color w:val="000000"/>
          <w:sz w:val="28"/>
        </w:rPr>
        <w:t>
      26. Фондовая биржа Монреаля (Bourse de Montreal)</w:t>
      </w:r>
    </w:p>
    <w:bookmarkEnd w:id="61"/>
    <w:bookmarkStart w:name="z71" w:id="62"/>
    <w:p>
      <w:pPr>
        <w:spacing w:after="0"/>
        <w:ind w:left="0"/>
        <w:jc w:val="both"/>
      </w:pPr>
      <w:r>
        <w:rPr>
          <w:rFonts w:ascii="Times New Roman"/>
          <w:b w:val="false"/>
          <w:i w:val="false"/>
          <w:color w:val="000000"/>
          <w:sz w:val="28"/>
        </w:rPr>
        <w:t>
      27. Немецкая фондовая биржа (Deutsche bourse AG)</w:t>
      </w:r>
    </w:p>
    <w:bookmarkEnd w:id="62"/>
    <w:bookmarkStart w:name="z72" w:id="63"/>
    <w:p>
      <w:pPr>
        <w:spacing w:after="0"/>
        <w:ind w:left="0"/>
        <w:jc w:val="both"/>
      </w:pPr>
      <w:r>
        <w:rPr>
          <w:rFonts w:ascii="Times New Roman"/>
          <w:b w:val="false"/>
          <w:i w:val="false"/>
          <w:color w:val="000000"/>
          <w:sz w:val="28"/>
        </w:rPr>
        <w:t>
      28. Нью-Йоркская фондовая биржа (New York Stock Exchange)</w:t>
      </w:r>
    </w:p>
    <w:bookmarkEnd w:id="63"/>
    <w:bookmarkStart w:name="z73" w:id="64"/>
    <w:p>
      <w:pPr>
        <w:spacing w:after="0"/>
        <w:ind w:left="0"/>
        <w:jc w:val="both"/>
      </w:pPr>
      <w:r>
        <w:rPr>
          <w:rFonts w:ascii="Times New Roman"/>
          <w:b w:val="false"/>
          <w:i w:val="false"/>
          <w:color w:val="000000"/>
          <w:sz w:val="28"/>
        </w:rPr>
        <w:t>
      29. Южнокорейская фондовая биржа (Korea Stock Exchange)</w:t>
      </w:r>
    </w:p>
    <w:bookmarkEnd w:id="64"/>
    <w:bookmarkStart w:name="z74" w:id="65"/>
    <w:p>
      <w:pPr>
        <w:spacing w:after="0"/>
        <w:ind w:left="0"/>
        <w:jc w:val="both"/>
      </w:pPr>
      <w:r>
        <w:rPr>
          <w:rFonts w:ascii="Times New Roman"/>
          <w:b w:val="false"/>
          <w:i w:val="false"/>
          <w:color w:val="000000"/>
          <w:sz w:val="28"/>
        </w:rPr>
        <w:t>
      30. Фондовая биржа Осаки (Osaka Securities Exchange)</w:t>
      </w:r>
    </w:p>
    <w:bookmarkEnd w:id="65"/>
    <w:bookmarkStart w:name="z75" w:id="66"/>
    <w:p>
      <w:pPr>
        <w:spacing w:after="0"/>
        <w:ind w:left="0"/>
        <w:jc w:val="both"/>
      </w:pPr>
      <w:r>
        <w:rPr>
          <w:rFonts w:ascii="Times New Roman"/>
          <w:b w:val="false"/>
          <w:i w:val="false"/>
          <w:color w:val="000000"/>
          <w:sz w:val="28"/>
        </w:rPr>
        <w:t>
      31. Фондовая биржа Осло (Oslo bourse)</w:t>
      </w:r>
    </w:p>
    <w:bookmarkEnd w:id="66"/>
    <w:bookmarkStart w:name="z76" w:id="67"/>
    <w:p>
      <w:pPr>
        <w:spacing w:after="0"/>
        <w:ind w:left="0"/>
        <w:jc w:val="both"/>
      </w:pPr>
      <w:r>
        <w:rPr>
          <w:rFonts w:ascii="Times New Roman"/>
          <w:b w:val="false"/>
          <w:i w:val="false"/>
          <w:color w:val="000000"/>
          <w:sz w:val="28"/>
        </w:rPr>
        <w:t>
      32. Европейская фондовая биржа "Евронекст" в Париже (Euronext Paris)</w:t>
      </w:r>
    </w:p>
    <w:bookmarkEnd w:id="67"/>
    <w:bookmarkStart w:name="z77" w:id="68"/>
    <w:p>
      <w:pPr>
        <w:spacing w:after="0"/>
        <w:ind w:left="0"/>
        <w:jc w:val="both"/>
      </w:pPr>
      <w:r>
        <w:rPr>
          <w:rFonts w:ascii="Times New Roman"/>
          <w:b w:val="false"/>
          <w:i w:val="false"/>
          <w:color w:val="000000"/>
          <w:sz w:val="28"/>
        </w:rPr>
        <w:t>
      33. Фондовая биржа Российской Федерации (ПАО Московская биржа)</w:t>
      </w:r>
    </w:p>
    <w:bookmarkEnd w:id="68"/>
    <w:bookmarkStart w:name="z78" w:id="69"/>
    <w:p>
      <w:pPr>
        <w:spacing w:after="0"/>
        <w:ind w:left="0"/>
        <w:jc w:val="both"/>
      </w:pPr>
      <w:r>
        <w:rPr>
          <w:rFonts w:ascii="Times New Roman"/>
          <w:b w:val="false"/>
          <w:i w:val="false"/>
          <w:color w:val="000000"/>
          <w:sz w:val="28"/>
        </w:rPr>
        <w:t>
      34. Сингапурская фондовая биржа (Singapore Exchange)</w:t>
      </w:r>
    </w:p>
    <w:bookmarkEnd w:id="69"/>
    <w:bookmarkStart w:name="z79" w:id="70"/>
    <w:p>
      <w:pPr>
        <w:spacing w:after="0"/>
        <w:ind w:left="0"/>
        <w:jc w:val="both"/>
      </w:pPr>
      <w:r>
        <w:rPr>
          <w:rFonts w:ascii="Times New Roman"/>
          <w:b w:val="false"/>
          <w:i w:val="false"/>
          <w:color w:val="000000"/>
          <w:sz w:val="28"/>
        </w:rPr>
        <w:t>
      35. Стамбульская фондовая биржа (Borsa İstanbul A.Ş.)</w:t>
      </w:r>
    </w:p>
    <w:bookmarkEnd w:id="70"/>
    <w:bookmarkStart w:name="z80" w:id="71"/>
    <w:p>
      <w:pPr>
        <w:spacing w:after="0"/>
        <w:ind w:left="0"/>
        <w:jc w:val="both"/>
      </w:pPr>
      <w:r>
        <w:rPr>
          <w:rFonts w:ascii="Times New Roman"/>
          <w:b w:val="false"/>
          <w:i w:val="false"/>
          <w:color w:val="000000"/>
          <w:sz w:val="28"/>
        </w:rPr>
        <w:t>
      36. Стокгольмская фондовая биржа (Nasdaq Stockholm)</w:t>
      </w:r>
    </w:p>
    <w:bookmarkEnd w:id="71"/>
    <w:bookmarkStart w:name="z81" w:id="72"/>
    <w:p>
      <w:pPr>
        <w:spacing w:after="0"/>
        <w:ind w:left="0"/>
        <w:jc w:val="both"/>
      </w:pPr>
      <w:r>
        <w:rPr>
          <w:rFonts w:ascii="Times New Roman"/>
          <w:b w:val="false"/>
          <w:i w:val="false"/>
          <w:color w:val="000000"/>
          <w:sz w:val="28"/>
        </w:rPr>
        <w:t>
      37. Токийская фондовая биржа (Tokyo Stock Exchange)</w:t>
      </w:r>
    </w:p>
    <w:bookmarkEnd w:id="72"/>
    <w:bookmarkStart w:name="z82" w:id="73"/>
    <w:p>
      <w:pPr>
        <w:spacing w:after="0"/>
        <w:ind w:left="0"/>
        <w:jc w:val="both"/>
      </w:pPr>
      <w:r>
        <w:rPr>
          <w:rFonts w:ascii="Times New Roman"/>
          <w:b w:val="false"/>
          <w:i w:val="false"/>
          <w:color w:val="000000"/>
          <w:sz w:val="28"/>
        </w:rPr>
        <w:t>
      38. Фондовая биржа Торонто (Toronto Stock Exchange)</w:t>
      </w:r>
    </w:p>
    <w:bookmarkEnd w:id="73"/>
    <w:bookmarkStart w:name="z83" w:id="74"/>
    <w:p>
      <w:pPr>
        <w:spacing w:after="0"/>
        <w:ind w:left="0"/>
        <w:jc w:val="both"/>
      </w:pPr>
      <w:r>
        <w:rPr>
          <w:rFonts w:ascii="Times New Roman"/>
          <w:b w:val="false"/>
          <w:i w:val="false"/>
          <w:color w:val="000000"/>
          <w:sz w:val="28"/>
        </w:rPr>
        <w:t>
      39. Индийская фондовая биржа (Delhi Stock Exchange)</w:t>
      </w:r>
    </w:p>
    <w:bookmarkEnd w:id="74"/>
    <w:bookmarkStart w:name="z84" w:id="75"/>
    <w:p>
      <w:pPr>
        <w:spacing w:after="0"/>
        <w:ind w:left="0"/>
        <w:jc w:val="both"/>
      </w:pPr>
      <w:r>
        <w:rPr>
          <w:rFonts w:ascii="Times New Roman"/>
          <w:b w:val="false"/>
          <w:i w:val="false"/>
          <w:color w:val="000000"/>
          <w:sz w:val="28"/>
        </w:rPr>
        <w:t>
      40. Национальная фондовая биржа Индии (National Stock Exchange of India Limited)</w:t>
      </w:r>
    </w:p>
    <w:bookmarkEnd w:id="75"/>
    <w:bookmarkStart w:name="z85" w:id="76"/>
    <w:p>
      <w:pPr>
        <w:spacing w:after="0"/>
        <w:ind w:left="0"/>
        <w:jc w:val="both"/>
      </w:pPr>
      <w:r>
        <w:rPr>
          <w:rFonts w:ascii="Times New Roman"/>
          <w:b w:val="false"/>
          <w:i w:val="false"/>
          <w:color w:val="000000"/>
          <w:sz w:val="28"/>
        </w:rPr>
        <w:t>
      41. Филиппинская фондовая биржа (Philippine Stock Exchange)</w:t>
      </w:r>
    </w:p>
    <w:bookmarkEnd w:id="76"/>
    <w:bookmarkStart w:name="z86" w:id="77"/>
    <w:p>
      <w:pPr>
        <w:spacing w:after="0"/>
        <w:ind w:left="0"/>
        <w:jc w:val="both"/>
      </w:pPr>
      <w:r>
        <w:rPr>
          <w:rFonts w:ascii="Times New Roman"/>
          <w:b w:val="false"/>
          <w:i w:val="false"/>
          <w:color w:val="000000"/>
          <w:sz w:val="28"/>
        </w:rPr>
        <w:t>
      42. Франкфуртская фондовая биржа (Frankfurt Stock Exchange)</w:t>
      </w:r>
    </w:p>
    <w:bookmarkEnd w:id="77"/>
    <w:bookmarkStart w:name="z87" w:id="78"/>
    <w:p>
      <w:pPr>
        <w:spacing w:after="0"/>
        <w:ind w:left="0"/>
        <w:jc w:val="both"/>
      </w:pPr>
      <w:r>
        <w:rPr>
          <w:rFonts w:ascii="Times New Roman"/>
          <w:b w:val="false"/>
          <w:i w:val="false"/>
          <w:color w:val="000000"/>
          <w:sz w:val="28"/>
        </w:rPr>
        <w:t>
      43. Шанхайская фондовая биржа (Shanghai Stock Exchange)</w:t>
      </w:r>
    </w:p>
    <w:bookmarkEnd w:id="78"/>
    <w:bookmarkStart w:name="z88" w:id="79"/>
    <w:p>
      <w:pPr>
        <w:spacing w:after="0"/>
        <w:ind w:left="0"/>
        <w:jc w:val="both"/>
      </w:pPr>
      <w:r>
        <w:rPr>
          <w:rFonts w:ascii="Times New Roman"/>
          <w:b w:val="false"/>
          <w:i w:val="false"/>
          <w:color w:val="000000"/>
          <w:sz w:val="28"/>
        </w:rPr>
        <w:t>
      44. Фондовая биржа Швейцарии (SIX Swiss Exchange)</w:t>
      </w:r>
    </w:p>
    <w:bookmarkEnd w:id="79"/>
    <w:bookmarkStart w:name="z89" w:id="80"/>
    <w:p>
      <w:pPr>
        <w:spacing w:after="0"/>
        <w:ind w:left="0"/>
        <w:jc w:val="both"/>
      </w:pPr>
      <w:r>
        <w:rPr>
          <w:rFonts w:ascii="Times New Roman"/>
          <w:b w:val="false"/>
          <w:i w:val="false"/>
          <w:color w:val="000000"/>
          <w:sz w:val="28"/>
        </w:rPr>
        <w:t>
      45. Шэньчженьская фондовая биржа (Shenchzhen Stock Exchange)</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