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8f54" w14:textId="183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апреля 2026 года № 40. Зарегистрирован в Министерстве юстиции Республики Казахстан 7 апреля 2026 года № 38353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человека". (зарегистрирован в Реестре государственной регистрации нормативных правовых актов под № 26447)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автомагистралей, линий железнодорожного транспорта, наземных участков метрополитена, а также вдоль стандартных маршрутов полета в зоне взлета и посадки воздушных судов, запусков космических аппаратов от проекции на поверхность земли устанавливается расстояние от объекта, которое имеет режим СЗЗ и обеспечивающее снижение от химического, биологического и физического воздействия до значений установленных гигиеническими нормативами (далее – санитарный разрыв).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санитарных разрывов устанавливается в каждом конкретном случае на основании расчетов рассеивания выбросов загрязняющих веществ в атмосферный воздух и уровней физического воздействия (шума, вибрации, ЭМП и другие физические факторы).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санитарного разрыва, в том числе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 не требуется разработка проекта обоснования санитарного разрыва, за исключением санитарных разрывов на приаэродромной территории вдоль стандартных маршрутов полета в зоне взлета и посадки воздушных судов, запусков космических аппаратов (санитарный разрыв устанавливается в соответствии с требованиями, указанными в пункте 9 настоящих Санитарных правил).";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Вокруг аэропортов, аэродромов, вертодромов в каждом конкретном случае на основании расчетов рассеивания загрязнения атмосферного воздуха и уровней физического воздействия на атмосферный воздух (шум, вибрация, ЭМП и другие физические факторы), а также на основании результатов натурных исследований и измерений, оценки риска для жизни и здоровья населения (для объектов I и II класса опасности) устанавливается специальная территория с особым режимом использования (СЗЗ от производственных объектов и санитарный разрыв на приаэродромной территории вдоль стандартных маршрутов полета в зоне взлета и посадки воздушных судов, запусков космических аппаратов от проекции на поверхность земли),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включая организацию и проведение расчетов, натурных исследований и измерений, оценки риска для жизни и здоровья населения (для объектов I и II класса опасности) обеспечивают собственники аэродромов и вертодромов.";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В границах санитарного разрыва на приаэродромной территории не допускается размещение объектов, не предназначенных для организации и обслуживания воздушного движения и воздушных перевозок, обслуживания пассажиров и воздушных судов, а также объектов, не относящихся к инфраструктуре аэропорта, за исключением существующей жилой и общественной застройки при условии разработки и реализации в проектной документации обоснованных мероприятий по защите населения от химического и/или физического воздействия.".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