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d2df" w14:textId="38bd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апреля 2026 года № 115. Зарегистрирован в Министерстве юстиции Республики Казахстан 7 апреля 2026 года № 38348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под № 17320)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Субсидирование затрат на строительно-монтажные работы осуществляется по инвестиционным проектам, предусматривающим достижение показателей по производительности и/или продуктивности и/или объемов сбыта продукции и/или загрузке производственных мощностей в соответствии с бизнес-планом проекта.</w:t>
      </w:r>
    </w:p>
    <w:bookmarkEnd w:id="3"/>
    <w:bookmarkStart w:name="z10" w:id="4"/>
    <w:p>
      <w:pPr>
        <w:spacing w:after="0"/>
        <w:ind w:left="0"/>
        <w:jc w:val="both"/>
      </w:pPr>
      <w:r>
        <w:rPr>
          <w:rFonts w:ascii="Times New Roman"/>
          <w:b w:val="false"/>
          <w:i w:val="false"/>
          <w:color w:val="000000"/>
          <w:sz w:val="28"/>
        </w:rPr>
        <w:t xml:space="preserve">
      При этом, в рамках создания новых или расширения действующих производственных мощностей допускается инвестиционное субсидирование реконструкции объекта в соответствии с паспортами проектов,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расширение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"16.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паспортах проектов.</w:t>
      </w:r>
    </w:p>
    <w:bookmarkEnd w:id="6"/>
    <w:bookmarkStart w:name="z14" w:id="7"/>
    <w:p>
      <w:pPr>
        <w:spacing w:after="0"/>
        <w:ind w:left="0"/>
        <w:jc w:val="both"/>
      </w:pPr>
      <w:r>
        <w:rPr>
          <w:rFonts w:ascii="Times New Roman"/>
          <w:b w:val="false"/>
          <w:i w:val="false"/>
          <w:color w:val="000000"/>
          <w:sz w:val="28"/>
        </w:rPr>
        <w:t>
      По паспортам проектов № 7, № 8 (по молокоперерабатывающему заводу), № 10, № 19, № 24, № 25, № 26, № 27, № 27.1, № 28, № 29, № 32 при создании новых производственных мощностей, инвестиционные субсидии выплачиваются двумя траншами:</w:t>
      </w:r>
    </w:p>
    <w:bookmarkEnd w:id="7"/>
    <w:bookmarkStart w:name="z15" w:id="8"/>
    <w:p>
      <w:pPr>
        <w:spacing w:after="0"/>
        <w:ind w:left="0"/>
        <w:jc w:val="both"/>
      </w:pPr>
      <w:r>
        <w:rPr>
          <w:rFonts w:ascii="Times New Roman"/>
          <w:b w:val="false"/>
          <w:i w:val="false"/>
          <w:color w:val="000000"/>
          <w:sz w:val="28"/>
        </w:rPr>
        <w:t>
      1) первый транш в размере 50 (пятидесяти) % от общей суммы инвестиционных субсидий после ввода объекта в эксплуатацию;</w:t>
      </w:r>
    </w:p>
    <w:bookmarkEnd w:id="8"/>
    <w:bookmarkStart w:name="z16" w:id="9"/>
    <w:p>
      <w:pPr>
        <w:spacing w:after="0"/>
        <w:ind w:left="0"/>
        <w:jc w:val="both"/>
      </w:pPr>
      <w:r>
        <w:rPr>
          <w:rFonts w:ascii="Times New Roman"/>
          <w:b w:val="false"/>
          <w:i w:val="false"/>
          <w:color w:val="000000"/>
          <w:sz w:val="28"/>
        </w:rPr>
        <w:t>
      2) второй транш в размере 50 (пятидесяти) % от общей суммы инвестиционных субсидий после достижения объемов производства продукции не менее 50 (пятидесяти) % от общей производственной мощности в сроки, предусмотренные бизнес-планом.</w:t>
      </w:r>
    </w:p>
    <w:bookmarkEnd w:id="9"/>
    <w:bookmarkStart w:name="z17" w:id="10"/>
    <w:p>
      <w:pPr>
        <w:spacing w:after="0"/>
        <w:ind w:left="0"/>
        <w:jc w:val="both"/>
      </w:pPr>
      <w:r>
        <w:rPr>
          <w:rFonts w:ascii="Times New Roman"/>
          <w:b w:val="false"/>
          <w:i w:val="false"/>
          <w:color w:val="000000"/>
          <w:sz w:val="28"/>
        </w:rPr>
        <w:t>
      В случае достижения инвестиционным проектом на момент подачи заявки объемов производства продукции 50 (пятидесяти) % от общей производственной мощности и более, инвестиционные субсидии выплачиваются одним траншем.";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bookmarkEnd w:id="11"/>
    <w:bookmarkStart w:name="z20" w:id="12"/>
    <w:p>
      <w:pPr>
        <w:spacing w:after="0"/>
        <w:ind w:left="0"/>
        <w:jc w:val="both"/>
      </w:pPr>
      <w:r>
        <w:rPr>
          <w:rFonts w:ascii="Times New Roman"/>
          <w:b w:val="false"/>
          <w:i w:val="false"/>
          <w:color w:val="000000"/>
          <w:sz w:val="28"/>
        </w:rPr>
        <w:t>
      до 50 (пятидесяти) %:</w:t>
      </w:r>
    </w:p>
    <w:bookmarkEnd w:id="12"/>
    <w:bookmarkStart w:name="z21" w:id="13"/>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2, 15.2, 16, 21, 32, 33, 35, 36, 37, 38, 43, 48, 50;</w:t>
      </w:r>
    </w:p>
    <w:bookmarkEnd w:id="13"/>
    <w:bookmarkStart w:name="z22" w:id="14"/>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 2, 5, 6, 7, 8, 10, 11;</w:t>
      </w:r>
    </w:p>
    <w:bookmarkEnd w:id="14"/>
    <w:bookmarkStart w:name="z23" w:id="15"/>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15"/>
    <w:bookmarkStart w:name="z24" w:id="16"/>
    <w:p>
      <w:pPr>
        <w:spacing w:after="0"/>
        <w:ind w:left="0"/>
        <w:jc w:val="both"/>
      </w:pPr>
      <w:r>
        <w:rPr>
          <w:rFonts w:ascii="Times New Roman"/>
          <w:b w:val="false"/>
          <w:i w:val="false"/>
          <w:color w:val="000000"/>
          <w:sz w:val="28"/>
        </w:rPr>
        <w:t>
      При этом, один сельскохозяйственный кооператив получает инвестиционные субсидии на приобретенную (приобретаемую) технику, машины и оборудование, до:</w:t>
      </w:r>
    </w:p>
    <w:bookmarkEnd w:id="16"/>
    <w:bookmarkStart w:name="z25" w:id="17"/>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17"/>
    <w:bookmarkStart w:name="z26" w:id="18"/>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18"/>
    <w:bookmarkStart w:name="z27" w:id="19"/>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19"/>
    <w:bookmarkStart w:name="z28" w:id="20"/>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20"/>
    <w:bookmarkStart w:name="z29" w:id="21"/>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в Мангистауской области:</w:t>
      </w:r>
    </w:p>
    <w:bookmarkEnd w:id="21"/>
    <w:bookmarkStart w:name="z30" w:id="22"/>
    <w:p>
      <w:pPr>
        <w:spacing w:after="0"/>
        <w:ind w:left="0"/>
        <w:jc w:val="both"/>
      </w:pPr>
      <w:r>
        <w:rPr>
          <w:rFonts w:ascii="Times New Roman"/>
          <w:b w:val="false"/>
          <w:i w:val="false"/>
          <w:color w:val="000000"/>
          <w:sz w:val="28"/>
        </w:rPr>
        <w:t>
      до 80 (восьмидесяти) % на бурение колодцев, скважин.";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xml:space="preserve">
      "32.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w:t>
      </w:r>
    </w:p>
    <w:bookmarkEnd w:id="23"/>
    <w:bookmarkStart w:name="z33" w:id="24"/>
    <w:p>
      <w:pPr>
        <w:spacing w:after="0"/>
        <w:ind w:left="0"/>
        <w:jc w:val="both"/>
      </w:pPr>
      <w:r>
        <w:rPr>
          <w:rFonts w:ascii="Times New Roman"/>
          <w:b w:val="false"/>
          <w:i w:val="false"/>
          <w:color w:val="000000"/>
          <w:sz w:val="28"/>
        </w:rPr>
        <w:t>
      При этом по заявкам, рассматриваемым в рамках:</w:t>
      </w:r>
    </w:p>
    <w:bookmarkEnd w:id="24"/>
    <w:bookmarkStart w:name="z34" w:id="25"/>
    <w:p>
      <w:pPr>
        <w:spacing w:after="0"/>
        <w:ind w:left="0"/>
        <w:jc w:val="both"/>
      </w:pPr>
      <w:r>
        <w:rPr>
          <w:rFonts w:ascii="Times New Roman"/>
          <w:b w:val="false"/>
          <w:i w:val="false"/>
          <w:color w:val="000000"/>
          <w:sz w:val="28"/>
        </w:rPr>
        <w:t>
      1) паспортов проектов № 1, № 1.1, № 1.2, № 2, № 3, № 6, № 8, № 13, № 14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 определяется инвестором (услугополучателем), что отражается в заявке на инвестиционное субсидирование;</w:t>
      </w:r>
    </w:p>
    <w:bookmarkEnd w:id="25"/>
    <w:bookmarkStart w:name="z35" w:id="26"/>
    <w:p>
      <w:pPr>
        <w:spacing w:after="0"/>
        <w:ind w:left="0"/>
        <w:jc w:val="both"/>
      </w:pPr>
      <w:r>
        <w:rPr>
          <w:rFonts w:ascii="Times New Roman"/>
          <w:b w:val="false"/>
          <w:i w:val="false"/>
          <w:color w:val="000000"/>
          <w:sz w:val="28"/>
        </w:rPr>
        <w:t>
      2) паспортов проектов № 4, № 5, № 7, № 9, № 10, № 12, № 15, № 16, № 17, № 18, № 19, № 20, № 21, № 22, № 23, № 24, № 25, № 26, № 27, № 27.1, № 28, № 29, № 30, № 31, № 32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или АО "Фонд развития промышленности", на специальный счет определяется рабочим органом (услугодателем).";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"38. Мониторинг инвестиционного субсидирования осуществляется в течение 3 (трех) лет с момента заключения договора инвестиционного субсидирования по следующим критериям:</w:t>
      </w:r>
    </w:p>
    <w:bookmarkEnd w:id="27"/>
    <w:bookmarkStart w:name="z38" w:id="28"/>
    <w:p>
      <w:pPr>
        <w:spacing w:after="0"/>
        <w:ind w:left="0"/>
        <w:jc w:val="both"/>
      </w:pPr>
      <w:r>
        <w:rPr>
          <w:rFonts w:ascii="Times New Roman"/>
          <w:b w:val="false"/>
          <w:i w:val="false"/>
          <w:color w:val="000000"/>
          <w:sz w:val="28"/>
        </w:rPr>
        <w:t>
      1) ежеквартально на предмет не отчуждения (в том числе в части запрета на замену и передачу в аренду объектов инвестиционного субсидирования) и обеспечения целевого использования инвестором (услугополучателем) приобретенной техники, машин и оборудования;</w:t>
      </w:r>
    </w:p>
    <w:bookmarkEnd w:id="28"/>
    <w:bookmarkStart w:name="z39" w:id="29"/>
    <w:p>
      <w:pPr>
        <w:spacing w:after="0"/>
        <w:ind w:left="0"/>
        <w:jc w:val="both"/>
      </w:pPr>
      <w:r>
        <w:rPr>
          <w:rFonts w:ascii="Times New Roman"/>
          <w:b w:val="false"/>
          <w:i w:val="false"/>
          <w:color w:val="000000"/>
          <w:sz w:val="28"/>
        </w:rPr>
        <w:t>
      2) по паспортам проектов № 7, № 8 (по молокоперерабатывающему заводу), № 10, № 18, № 19, № 24, № 25, № 26, № 27, № 27.1, № 28, № 29, № 32 на предмет: действия/бездействия объекта инвестиционного субсидирования не менее 1 (одного) раза в год с момента ввода в эксплуатацию, достижения/недостижения выхода объекта инвестиционного субсидирования на проектную мощность в размере не менее 50 (пятидесяти) % от общей проектной мощности в сроки, предусмотренные бизнес-планом;</w:t>
      </w:r>
    </w:p>
    <w:bookmarkEnd w:id="29"/>
    <w:bookmarkStart w:name="z40" w:id="30"/>
    <w:p>
      <w:pPr>
        <w:spacing w:after="0"/>
        <w:ind w:left="0"/>
        <w:jc w:val="both"/>
      </w:pPr>
      <w:r>
        <w:rPr>
          <w:rFonts w:ascii="Times New Roman"/>
          <w:b w:val="false"/>
          <w:i w:val="false"/>
          <w:color w:val="000000"/>
          <w:sz w:val="28"/>
        </w:rPr>
        <w:t>
      3) не менее 1 (одного) раза в год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первой пункта 3 настоящих Правил;</w:t>
      </w:r>
    </w:p>
    <w:bookmarkEnd w:id="30"/>
    <w:bookmarkStart w:name="z41" w:id="31"/>
    <w:p>
      <w:pPr>
        <w:spacing w:after="0"/>
        <w:ind w:left="0"/>
        <w:jc w:val="both"/>
      </w:pPr>
      <w:r>
        <w:rPr>
          <w:rFonts w:ascii="Times New Roman"/>
          <w:b w:val="false"/>
          <w:i w:val="false"/>
          <w:color w:val="000000"/>
          <w:sz w:val="28"/>
        </w:rPr>
        <w:t>
      4) не менее 1 (одного)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31"/>
    <w:bookmarkStart w:name="z42" w:id="32"/>
    <w:p>
      <w:pPr>
        <w:spacing w:after="0"/>
        <w:ind w:left="0"/>
        <w:jc w:val="both"/>
      </w:pPr>
      <w:r>
        <w:rPr>
          <w:rFonts w:ascii="Times New Roman"/>
          <w:b w:val="false"/>
          <w:i w:val="false"/>
          <w:color w:val="000000"/>
          <w:sz w:val="28"/>
        </w:rPr>
        <w:t>
      5) не менее 1 (одного) раза в год после выплаты субсидий на предмет соответствия вида деятельности инвестора к производству и (или) переработке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32"/>
    <w:bookmarkStart w:name="z43" w:id="33"/>
    <w:p>
      <w:pPr>
        <w:spacing w:after="0"/>
        <w:ind w:left="0"/>
        <w:jc w:val="both"/>
      </w:pPr>
      <w:r>
        <w:rPr>
          <w:rFonts w:ascii="Times New Roman"/>
          <w:b w:val="false"/>
          <w:i w:val="false"/>
          <w:color w:val="000000"/>
          <w:sz w:val="28"/>
        </w:rPr>
        <w:t>
      6) не менее 1 (одного) раза в год по исполнению финансовым институтом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или АО "Фонд развития промышленности", инвестиционных субсидий на специальном счете.";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5" w:id="34"/>
    <w:p>
      <w:pPr>
        <w:spacing w:after="0"/>
        <w:ind w:left="0"/>
        <w:jc w:val="both"/>
      </w:pPr>
      <w:r>
        <w:rPr>
          <w:rFonts w:ascii="Times New Roman"/>
          <w:b w:val="false"/>
          <w:i w:val="false"/>
          <w:color w:val="000000"/>
          <w:sz w:val="28"/>
        </w:rPr>
        <w:t>
      2.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34"/>
    <w:bookmarkStart w:name="z46"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7"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6"/>
    <w:bookmarkStart w:name="z48"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7"/>
    <w:bookmarkStart w:name="z49" w:id="3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абзац девятый Примечания Паспорта проекта № 1 "Приобретение сельскохозяйственной техники, машин и оборудования" </w:t>
      </w:r>
      <w:r>
        <w:rPr>
          <w:rFonts w:ascii="Times New Roman"/>
          <w:b w:val="false"/>
          <w:i w:val="false"/>
          <w:color w:val="000000"/>
          <w:sz w:val="28"/>
        </w:rPr>
        <w:t>приложения 3</w:t>
      </w:r>
      <w:r>
        <w:rPr>
          <w:rFonts w:ascii="Times New Roman"/>
          <w:b w:val="false"/>
          <w:i w:val="false"/>
          <w:color w:val="000000"/>
          <w:sz w:val="28"/>
        </w:rPr>
        <w:t xml:space="preserve"> к Правилам действует до 31 декабря 2026 года.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51"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2"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3"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4"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5"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6"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2026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59" w:id="45"/>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7"/>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gridCol w:w="158"/>
      </w:tblGrid>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 от 80 лошадиных сил (включительно) на гусеничном ходу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 подборщик для фасоли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агрегат для выкарчивания фасоли в валок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капельной ленты с поля******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заделки соломы в почву******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разделительный культиватор******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складной******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оборотный плуг******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Цепной траншеекопатель******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Планировщик с лазерной или GPS системами контроля выравнивания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(включительно)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 от 49-145 тонн в сутки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сельскохозяйственные многофункциональные (для распыления пестицидов, разбрасывания семян, удобрений и других)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приобретения автомобиля для перевозки грузов сельскохозяйственного назначения необходимо наличие земельной площади не менее 120 гектаров.</w:t>
            </w:r>
          </w:p>
          <w:p>
            <w:pPr>
              <w:spacing w:after="20"/>
              <w:ind w:left="20"/>
              <w:jc w:val="both"/>
            </w:pPr>
            <w:r>
              <w:rPr>
                <w:rFonts w:ascii="Times New Roman"/>
                <w:b w:val="false"/>
                <w:i w:val="false"/>
                <w:color w:val="000000"/>
                <w:sz w:val="20"/>
              </w:rPr>
              <w:t>
** Позиции 39, 40 субсидируются за счет средств из местного бюджета.</w:t>
            </w:r>
          </w:p>
          <w:p>
            <w:pPr>
              <w:spacing w:after="20"/>
              <w:ind w:left="20"/>
              <w:jc w:val="both"/>
            </w:pPr>
            <w:r>
              <w:rPr>
                <w:rFonts w:ascii="Times New Roman"/>
                <w:b w:val="false"/>
                <w:i w:val="false"/>
                <w:color w:val="000000"/>
                <w:sz w:val="20"/>
              </w:rPr>
              <w:t>
***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w:t>
            </w:r>
          </w:p>
          <w:p>
            <w:pPr>
              <w:spacing w:after="20"/>
              <w:ind w:left="20"/>
              <w:jc w:val="both"/>
            </w:pPr>
            <w:r>
              <w:rPr>
                <w:rFonts w:ascii="Times New Roman"/>
                <w:b w:val="false"/>
                <w:i w:val="false"/>
                <w:color w:val="000000"/>
                <w:sz w:val="20"/>
              </w:rPr>
              <w:t>
Для расчета субсидии самоходной техники и машин в паспортах проектов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Позиции 44, 54, 55 субсидируются за счет средств из местного бюджета.</w:t>
            </w:r>
          </w:p>
          <w:p>
            <w:pPr>
              <w:spacing w:after="20"/>
              <w:ind w:left="20"/>
              <w:jc w:val="both"/>
            </w:pPr>
            <w:r>
              <w:rPr>
                <w:rFonts w:ascii="Times New Roman"/>
                <w:b w:val="false"/>
                <w:i w:val="false"/>
                <w:color w:val="000000"/>
                <w:sz w:val="20"/>
              </w:rPr>
              <w:t>
Диаметр проволоки сетки не менее 2,0 миллиметра, высота сетки не менее 1,2 метра.</w:t>
            </w:r>
          </w:p>
          <w:p>
            <w:pPr>
              <w:spacing w:after="20"/>
              <w:ind w:left="20"/>
              <w:jc w:val="both"/>
            </w:pPr>
            <w:r>
              <w:rPr>
                <w:rFonts w:ascii="Times New Roman"/>
                <w:b w:val="false"/>
                <w:i w:val="false"/>
                <w:color w:val="000000"/>
                <w:sz w:val="20"/>
              </w:rPr>
              <w:t>
Размеры ячейки сетки: ширина не более 100 миллиметров, высота не более 75 миллиметров.</w:t>
            </w:r>
          </w:p>
          <w:p>
            <w:pPr>
              <w:spacing w:after="20"/>
              <w:ind w:left="20"/>
              <w:jc w:val="both"/>
            </w:pPr>
            <w:r>
              <w:rPr>
                <w:rFonts w:ascii="Times New Roman"/>
                <w:b w:val="false"/>
                <w:i w:val="false"/>
                <w:color w:val="000000"/>
                <w:sz w:val="20"/>
              </w:rPr>
              <w:t>
Расстояние между столбами не более 3-5 метров.</w:t>
            </w:r>
          </w:p>
          <w:p>
            <w:pPr>
              <w:spacing w:after="20"/>
              <w:ind w:left="20"/>
              <w:jc w:val="both"/>
            </w:pPr>
            <w:r>
              <w:rPr>
                <w:rFonts w:ascii="Times New Roman"/>
                <w:b w:val="false"/>
                <w:i w:val="false"/>
                <w:color w:val="000000"/>
                <w:sz w:val="20"/>
              </w:rPr>
              <w:t>
****** По позициям 22, 23, 24.1, 24.2, 24.3, 24.4, 25, 26 субсидирование осуществляется за счет средств из местного бюджета для инвесторов (услугополучателей) Туркестанской области и действует до конца 2026 года.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181 до 300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369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370 до 499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371 394 000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129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220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279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до 430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201-400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426 217 000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 с двигателем PowerTech™, системой телематики JDLink™,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539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295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296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 с двигателем PowerTech™ и системой телематики JDLink™, компонентами пропускного тракта с технологией Dura Line™: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с двигателем PowerTech™ и (или) системой телематики JDLink™, с рядковыми элементами по сбору хлопка PRO12 или MR16 или MR12: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p>
            <w:pPr>
              <w:spacing w:after="20"/>
              <w:ind w:left="20"/>
              <w:jc w:val="both"/>
            </w:pPr>
            <w:r>
              <w:rPr>
                <w:rFonts w:ascii="Times New Roman"/>
                <w:b w:val="false"/>
                <w:i w:val="false"/>
                <w:color w:val="000000"/>
                <w:sz w:val="20"/>
              </w:rPr>
              <w:t>
(с двигателем PowerTech™ и системой телематики JDLink™, рядковые элементы по сбору хлопка MR16 и cо встроенной автоматической камерой прессования хлопка и упаковки в рулоны, покрытые пленкой TamaWrap+™ и системой контроля процесса тюкования Cotton Pro (HID, Cotton Pro), с монитором управления CommandCenter™ G5Plus, функцией автоматического вождения по рядкам AutoTrac™ RowSense™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со стойками для сошников TruPosition™ или сошниками ConservaPak™ или сошниками ProSeries™, система контроля забивания семяпроводов RelativeFlow™. Бункер для семян из пластика, конвейерный тип транспортера, высевающий аппарат с дозирующими высевающими катушками: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 /посевной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зерновая сеялка с двухдисковым сошником или сошником ProSeries™, комбинированным бункером для семян 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с высевающей секцией MaxEmerge или ExactEmerge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 рядов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рядов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 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 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 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 конусный полнокомплектный от 70 до 540 тонн хранения с системой вентиляции и термометрии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 плоскодонный полнокомплектный от 1000 до 10 000 тонн хранения с системой вентиляции и термометрии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110 197 526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со стойками TruPosition™ и тандемные колеса для копирования рельефа Walk-Over, и (или) с регулировкой глубины в одной точке Single Point: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9,1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9,2-10,7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10,8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с мотовилом с композитными пальцами и/или c системой автоматической скорости мотовила Dial-a-Speed и/или с системой копирования рельефа Active Header Control/HydroFlex/Active Header Float: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7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7,1 до 8,9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до 12,9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13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для комбайна с контролем управления высоты - cистема копирования рельефа HCU/AHC, пластиковыми пальцами ленты подборщика, системой автоматической скорости ленты Dial-a-Speed и/или системой амортизации FieldGlide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с технологией контроля глубины TruSet™ и (или) с регулировкой глубины в одной точке Single Рoint: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Грабли-ворошилки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Снегопах, валкообразователь, валкоукладчик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 совместимый с тракторами оборудованных функцией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с фиксированной камерой прессования, с системой предварительного измельчения MaxiCut HC 2,2 м или со стандартным подборщиком 1,79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 с системой регулировки смещения, централизованная система смазки узловязателей; очистной вентилятор узловязателя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зеленых кормов (для силоса, сенажа): с упаковкой в пленку и внесением консервантов B-Wrap, с системой взвешивания и измерением влажности и система контроля параметров работы СommandCenter, уникальная система обвязки CoverEdge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косилки с навигационной системой AutoTrac™, системой автоматической скорости мотовила Dial-a-Speed, системой передвижения столов и автоматическим реверсированием лент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системой распыления раствора с функциями AutoFill и AutoDiluter системой стабилизации штанги BoomTrac™ или TerrainControl Pro™/TerrainCommand Pro™,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 двигателем PowerTech™ и системой телематики JDLink™, система стабилизации штанги BoomTrac™ или TerrainControl Pro™ / Terrain Command Pro™, навигационной системой AutoTrac™, дисплей управления системами Command Center™: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3000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3001 до 5999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6000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удобрений, объем до 8001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разбрасыватель удобрений с двигателем PowerTech™ и системой телематики JDLink™, навигационной системой AutoTrac™,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Для расчета субсидии самоходной техники и машин в паспортах проектов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случае приобретения зерноуборочного или кормоуборочного комбайна с жаткой и (или) платформой подборщиком допускается расчет субсидий, с учетом суммы максимально допустимой стоимости установленных по позиции 5 (зерноуборочные комбайны) или позиции 7 (кормоуборочные комбайны) и позиции 28 (жатка) и (или) позиции 30 (платформа подборщик).</w:t>
            </w:r>
          </w:p>
          <w:p>
            <w:pPr>
              <w:spacing w:after="20"/>
              <w:ind w:left="20"/>
              <w:jc w:val="both"/>
            </w:pPr>
            <w:r>
              <w:rPr>
                <w:rFonts w:ascii="Times New Roman"/>
                <w:b w:val="false"/>
                <w:i w:val="false"/>
                <w:color w:val="000000"/>
                <w:sz w:val="20"/>
              </w:rPr>
              <w:t>
*** В случае приобретения зерноуборочного/кормоуборочного/хлопкоуборочного комбайна с жаткой и (или) платформой подборщиком допускается расчет субсидий, с учетом суммы максимально допустимой стоимости установленных по позиции 6 (зерноуборочные комбайны) или позиции 8 (кормоуборочные комбайны) или позиции 9 (хлопкоуборочные комбайны) и позиции 29 (жатка) и (или) позиции 31 платформа подборщик.</w:t>
            </w:r>
          </w:p>
          <w:p>
            <w:pPr>
              <w:spacing w:after="20"/>
              <w:ind w:left="20"/>
              <w:jc w:val="both"/>
            </w:pPr>
            <w:r>
              <w:rPr>
                <w:rFonts w:ascii="Times New Roman"/>
                <w:b w:val="false"/>
                <w:i w:val="false"/>
                <w:color w:val="000000"/>
                <w:sz w:val="20"/>
              </w:rPr>
              <w:t>
В случае приобретения зерноуборочного комбайна без жатки и (или) платформа подборщика допускается расчет субсидии без учета стоимости жатки и (или) платформа подборщика.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3,1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до 12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 до 20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от 3,5 метра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 до 9 метров: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до 4,0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от 4,1 метров (включительно)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Законом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Содружество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Содружество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Содружество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о семеноводстве;</w:t>
            </w:r>
          </w:p>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4"/>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4"/>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ветеринарно-санитарной экспертизы. Стоимость инвестиционного проекта определяется согласно проектно-сметной документации: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строительство.</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655 776 000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570 240 000 (при строительстве без досветки)</w:t>
            </w: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327 888 000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285 120 000 (при строительстве без досветки)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910 141 050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791 427 000 (при строительстве без досветки)</w:t>
            </w: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455 070 525 (при строительстве с досветкой)</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395 713 500 (при строительстве без досветки)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7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
4 500 000 (ягодных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
8 668 000 (плодовых косточковых культур);</w:t>
            </w:r>
          </w:p>
          <w:p>
            <w:pPr>
              <w:spacing w:after="20"/>
              <w:ind w:left="20"/>
              <w:jc w:val="both"/>
            </w:pPr>
            <w:r>
              <w:rPr>
                <w:rFonts w:ascii="Times New Roman"/>
                <w:b w:val="false"/>
                <w:i w:val="false"/>
                <w:color w:val="000000"/>
                <w:sz w:val="20"/>
              </w:rPr>
              <w:t>
1 841 000 (орехоплодных культур);</w:t>
            </w:r>
          </w:p>
          <w:p>
            <w:pPr>
              <w:spacing w:after="20"/>
              <w:ind w:left="20"/>
              <w:jc w:val="both"/>
            </w:pPr>
            <w:r>
              <w:rPr>
                <w:rFonts w:ascii="Times New Roman"/>
                <w:b w:val="false"/>
                <w:i w:val="false"/>
                <w:color w:val="000000"/>
                <w:sz w:val="20"/>
              </w:rPr>
              <w:t>
3 945 000 (виноград);</w:t>
            </w:r>
          </w:p>
          <w:p>
            <w:pPr>
              <w:spacing w:after="20"/>
              <w:ind w:left="20"/>
              <w:jc w:val="both"/>
            </w:pPr>
            <w:r>
              <w:rPr>
                <w:rFonts w:ascii="Times New Roman"/>
                <w:b w:val="false"/>
                <w:i w:val="false"/>
                <w:color w:val="000000"/>
                <w:sz w:val="20"/>
              </w:rPr>
              <w:t>
4 622 000 (ягодных культур);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
            <w:vMerge/>
            <w:tcBorders>
              <w:top w:val="nil"/>
              <w:left w:val="single" w:color="cfcfcf" w:sz="5"/>
              <w:bottom w:val="single" w:color="cfcfcf" w:sz="5"/>
              <w:right w:val="single" w:color="cfcfcf" w:sz="5"/>
            </w:tcBorders>
          </w:tcP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случае, если инвестиционный проект предусматривает приобретение и монтаж отдельных видов оборудования без разработки проектно-сметной документации, субсидированию подлежит приобретҰнное оборудование в пределах установленной максимально допустимой стоимости для расчҰта субсидий на единицу мощности и доли возмещения инвестиционных вложений от стоимости оборудования, на основании договоров купли-продажи (лизинга), договоров поставки и (или) монтажа оборудования, а также сопроводительных документов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мощностью от 1000 свиноматок,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при строительстве/расширении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предприятий мощностью от 1000 свиноматок, без увеличения мест для свиноматок:</w:t>
            </w:r>
          </w:p>
          <w:p>
            <w:pPr>
              <w:spacing w:after="20"/>
              <w:ind w:left="20"/>
              <w:jc w:val="both"/>
            </w:pPr>
            <w:r>
              <w:rPr>
                <w:rFonts w:ascii="Times New Roman"/>
                <w:b w:val="false"/>
                <w:i w:val="false"/>
                <w:color w:val="000000"/>
                <w:sz w:val="20"/>
              </w:rPr>
              <w:t>
Корпус для откорма свинопоголовья с системой автоматизированного кормления, водоснабжения, навозоудаления, вентиляции и отопления,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при строительстве/расширении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свинопоголовья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317 000</w:t>
            </w:r>
          </w:p>
          <w:p>
            <w:pPr>
              <w:spacing w:after="20"/>
              <w:ind w:left="20"/>
              <w:jc w:val="both"/>
            </w:pPr>
            <w:r>
              <w:rPr>
                <w:rFonts w:ascii="Times New Roman"/>
                <w:b w:val="false"/>
                <w:i w:val="false"/>
                <w:color w:val="000000"/>
                <w:sz w:val="20"/>
              </w:rPr>
              <w:t>
158 000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1"/>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с холодильным оборудованием – 50 %;</w:t>
            </w:r>
          </w:p>
          <w:p>
            <w:pPr>
              <w:spacing w:after="20"/>
              <w:ind w:left="20"/>
              <w:jc w:val="both"/>
            </w:pPr>
            <w:r>
              <w:rPr>
                <w:rFonts w:ascii="Times New Roman"/>
                <w:b w:val="false"/>
                <w:i w:val="false"/>
                <w:color w:val="000000"/>
                <w:sz w:val="20"/>
              </w:rPr>
              <w:t>
с вентиляционным оборудованием – 40 %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седельный тягач*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возмещения инвестиционных вложений при комбинированном климат-контроле (с холодильным и вентиляционными оборудованиями) составляет 40 %.</w:t>
            </w:r>
          </w:p>
          <w:p>
            <w:pPr>
              <w:spacing w:after="20"/>
              <w:ind w:left="20"/>
              <w:jc w:val="both"/>
            </w:pPr>
            <w:r>
              <w:rPr>
                <w:rFonts w:ascii="Times New Roman"/>
                <w:b w:val="false"/>
                <w:i w:val="false"/>
                <w:color w:val="000000"/>
                <w:sz w:val="20"/>
              </w:rPr>
              <w:t>
** Субсидируется по норме 3 единицы на 1500 тонн хранения.</w:t>
            </w:r>
          </w:p>
          <w:p>
            <w:pPr>
              <w:spacing w:after="20"/>
              <w:ind w:left="20"/>
              <w:jc w:val="both"/>
            </w:pPr>
            <w:r>
              <w:rPr>
                <w:rFonts w:ascii="Times New Roman"/>
                <w:b w:val="false"/>
                <w:i w:val="false"/>
                <w:color w:val="000000"/>
                <w:sz w:val="20"/>
              </w:rPr>
              <w:t>
*** 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1000 тонн *"</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
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мощностью от 50 000 тонн в год по сырью с производственным комплексом и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13 908 680 324</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p>
            <w:pPr>
              <w:spacing w:after="20"/>
              <w:ind w:left="20"/>
              <w:jc w:val="both"/>
            </w:pPr>
            <w:r>
              <w:rPr>
                <w:rFonts w:ascii="Times New Roman"/>
                <w:b w:val="false"/>
                <w:i w:val="false"/>
                <w:color w:val="000000"/>
                <w:sz w:val="20"/>
              </w:rPr>
              <w:t>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7"/>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7"/>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крахмалы модифицированные;</w:t>
            </w:r>
          </w:p>
          <w:p>
            <w:pPr>
              <w:spacing w:after="20"/>
              <w:ind w:left="20"/>
              <w:jc w:val="both"/>
            </w:pPr>
            <w:r>
              <w:rPr>
                <w:rFonts w:ascii="Times New Roman"/>
                <w:b w:val="false"/>
                <w:i w:val="false"/>
                <w:color w:val="000000"/>
                <w:sz w:val="20"/>
              </w:rPr>
              <w:t>
глюкоза и сироп из глюкозы;</w:t>
            </w:r>
          </w:p>
          <w:p>
            <w:pPr>
              <w:spacing w:after="20"/>
              <w:ind w:left="20"/>
              <w:jc w:val="both"/>
            </w:pPr>
            <w:r>
              <w:rPr>
                <w:rFonts w:ascii="Times New Roman"/>
                <w:b w:val="false"/>
                <w:i w:val="false"/>
                <w:color w:val="000000"/>
                <w:sz w:val="20"/>
              </w:rPr>
              <w:t>
фруктоза и сироп из фруктозы;</w:t>
            </w:r>
          </w:p>
          <w:p>
            <w:pPr>
              <w:spacing w:after="20"/>
              <w:ind w:left="20"/>
              <w:jc w:val="both"/>
            </w:pPr>
            <w:r>
              <w:rPr>
                <w:rFonts w:ascii="Times New Roman"/>
                <w:b w:val="false"/>
                <w:i w:val="false"/>
                <w:color w:val="000000"/>
                <w:sz w:val="20"/>
              </w:rPr>
              <w:t>
мальтоза и мальтозный сироп;</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концентраты белковые (протеиновые);</w:t>
            </w:r>
          </w:p>
          <w:p>
            <w:pPr>
              <w:spacing w:after="20"/>
              <w:ind w:left="20"/>
              <w:jc w:val="both"/>
            </w:pPr>
            <w:r>
              <w:rPr>
                <w:rFonts w:ascii="Times New Roman"/>
                <w:b w:val="false"/>
                <w:i w:val="false"/>
                <w:color w:val="000000"/>
                <w:sz w:val="20"/>
              </w:rPr>
              <w:t>
соевый изолят;</w:t>
            </w:r>
          </w:p>
          <w:p>
            <w:pPr>
              <w:spacing w:after="20"/>
              <w:ind w:left="20"/>
              <w:jc w:val="both"/>
            </w:pPr>
            <w:r>
              <w:rPr>
                <w:rFonts w:ascii="Times New Roman"/>
                <w:b w:val="false"/>
                <w:i w:val="false"/>
                <w:color w:val="000000"/>
                <w:sz w:val="20"/>
              </w:rPr>
              <w:t>
кислота лимонная;</w:t>
            </w:r>
          </w:p>
          <w:p>
            <w:pPr>
              <w:spacing w:after="20"/>
              <w:ind w:left="20"/>
              <w:jc w:val="both"/>
            </w:pPr>
            <w:r>
              <w:rPr>
                <w:rFonts w:ascii="Times New Roman"/>
                <w:b w:val="false"/>
                <w:i w:val="false"/>
                <w:color w:val="000000"/>
                <w:sz w:val="20"/>
              </w:rPr>
              <w:t>
лецитин и фосфолипиды растительные;</w:t>
            </w:r>
          </w:p>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лизин, кислота глутаминовая и их соли.</w:t>
            </w:r>
          </w:p>
          <w:p>
            <w:pPr>
              <w:spacing w:after="20"/>
              <w:ind w:left="20"/>
              <w:jc w:val="both"/>
            </w:pPr>
            <w:r>
              <w:rPr>
                <w:rFonts w:ascii="Times New Roman"/>
                <w:b w:val="false"/>
                <w:i w:val="false"/>
                <w:color w:val="000000"/>
                <w:sz w:val="20"/>
              </w:rPr>
              <w:t>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приказом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