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093e" w14:textId="1a60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 апреля 2026 года № 44. Зарегистрировано в Министерстве юстиции Республики Казахстан 6 апреля 2026 года № 38333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53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ставок вознаграждения в достоверном, годовом, эффективном, сопоставимом исчислении (реальной стоимости) по займам и вкладам.</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поведенческого надзора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по истечении десяти календарных дней после дня его первого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 апреля 2026 года № 44</w:t>
            </w:r>
          </w:p>
        </w:tc>
      </w:tr>
    </w:tbl>
    <w:bookmarkStart w:name="z15" w:id="9"/>
    <w:p>
      <w:pPr>
        <w:spacing w:after="0"/>
        <w:ind w:left="0"/>
        <w:jc w:val="left"/>
      </w:pPr>
      <w:r>
        <w:rPr>
          <w:rFonts w:ascii="Times New Roman"/>
          <w:b/>
          <w:i w:val="false"/>
          <w:color w:val="000000"/>
        </w:rPr>
        <w:t xml:space="preserve"> Правила исчисления ставок вознаграждения в достоверном, годовом, эффективном, сопоставимом исчислении (реальной стоимости) по займам и вкладам</w:t>
      </w:r>
    </w:p>
    <w:bookmarkEnd w:id="9"/>
    <w:bookmarkStart w:name="z16" w:id="10"/>
    <w:p>
      <w:pPr>
        <w:spacing w:after="0"/>
        <w:ind w:left="0"/>
        <w:jc w:val="both"/>
      </w:pPr>
      <w:r>
        <w:rPr>
          <w:rFonts w:ascii="Times New Roman"/>
          <w:b w:val="false"/>
          <w:i w:val="false"/>
          <w:color w:val="000000"/>
          <w:sz w:val="28"/>
        </w:rPr>
        <w:t xml:space="preserve">
      Правила исчисления ставок вознаграждения в достоверном, годовом, эффективном, сопоставимом исчислении (реальной стоимости) по займам и вкладам (далее – Правила) разработаны в соответствии </w:t>
      </w:r>
      <w:r>
        <w:rPr>
          <w:rFonts w:ascii="Times New Roman"/>
          <w:b w:val="false"/>
          <w:i w:val="false"/>
          <w:color w:val="000000"/>
          <w:sz w:val="28"/>
        </w:rPr>
        <w:t>пунктом 5</w:t>
      </w:r>
      <w:r>
        <w:rPr>
          <w:rFonts w:ascii="Times New Roman"/>
          <w:b w:val="false"/>
          <w:i w:val="false"/>
          <w:color w:val="000000"/>
          <w:sz w:val="28"/>
        </w:rPr>
        <w:t xml:space="preserve"> статьи 53 Закона Республики Казахстан "О банках и банковской деятельности в Республике Казахстан" (далее – Закон о банках) и устанавливают порядок исчисления банками (за исключением исламских банков) и организациями, осуществляющими отдельные виды банковских операций, ставок вознаграждения в достоверном, годовом, эффективном, сопоставимом исчислении (реальной стоимости) по займам и вкладам (за исключением межбанковских займов и межбанковских вкладов).</w:t>
      </w:r>
    </w:p>
    <w:bookmarkEnd w:id="10"/>
    <w:bookmarkStart w:name="z17" w:id="11"/>
    <w:p>
      <w:pPr>
        <w:spacing w:after="0"/>
        <w:ind w:left="0"/>
        <w:jc w:val="both"/>
      </w:pPr>
      <w:r>
        <w:rPr>
          <w:rFonts w:ascii="Times New Roman"/>
          <w:b w:val="false"/>
          <w:i w:val="false"/>
          <w:color w:val="000000"/>
          <w:sz w:val="28"/>
        </w:rPr>
        <w:t>
      Требования Правил распространяются на филиалы банков – нерезидентов Республики Казахстан, за исключением филиалов исламских банков – нерезидентов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Для целей Правил используются следующие понятия:</w:t>
      </w:r>
    </w:p>
    <w:bookmarkEnd w:id="13"/>
    <w:bookmarkStart w:name="z20" w:id="14"/>
    <w:p>
      <w:pPr>
        <w:spacing w:after="0"/>
        <w:ind w:left="0"/>
        <w:jc w:val="both"/>
      </w:pPr>
      <w:r>
        <w:rPr>
          <w:rFonts w:ascii="Times New Roman"/>
          <w:b w:val="false"/>
          <w:i w:val="false"/>
          <w:color w:val="000000"/>
          <w:sz w:val="28"/>
        </w:rPr>
        <w:t>
      1) годовая эффективная ставка вознаграждения – ставка вознаграждения в достоверном, годовом, эффективном, сопоставимом исчислении (реальная стоимость) в отношении услуг банка, рассчитываемая в соответствии с Правилами;</w:t>
      </w:r>
    </w:p>
    <w:bookmarkEnd w:id="14"/>
    <w:bookmarkStart w:name="z21" w:id="15"/>
    <w:p>
      <w:pPr>
        <w:spacing w:after="0"/>
        <w:ind w:left="0"/>
        <w:jc w:val="both"/>
      </w:pPr>
      <w:r>
        <w:rPr>
          <w:rFonts w:ascii="Times New Roman"/>
          <w:b w:val="false"/>
          <w:i w:val="false"/>
          <w:color w:val="000000"/>
          <w:sz w:val="28"/>
        </w:rPr>
        <w:t>
      2) заем – предоставление банками (за исключением исламских банков), филиалами банков – нерезидентов Республики Казахстан и организациями, осуществляющими отдельные виды банковских операций банковского займа клиенту (за исключением межбанковских займов);</w:t>
      </w:r>
    </w:p>
    <w:bookmarkEnd w:id="15"/>
    <w:bookmarkStart w:name="z22" w:id="16"/>
    <w:p>
      <w:pPr>
        <w:spacing w:after="0"/>
        <w:ind w:left="0"/>
        <w:jc w:val="both"/>
      </w:pPr>
      <w:r>
        <w:rPr>
          <w:rFonts w:ascii="Times New Roman"/>
          <w:b w:val="false"/>
          <w:i w:val="false"/>
          <w:color w:val="000000"/>
          <w:sz w:val="28"/>
        </w:rPr>
        <w:t>
      3) клиент – физическое или юридическое лицо, намеревающееся воспользоваться или пользующееся услугами банка;</w:t>
      </w:r>
    </w:p>
    <w:bookmarkEnd w:id="16"/>
    <w:bookmarkStart w:name="z23" w:id="17"/>
    <w:p>
      <w:pPr>
        <w:spacing w:after="0"/>
        <w:ind w:left="0"/>
        <w:jc w:val="both"/>
      </w:pPr>
      <w:r>
        <w:rPr>
          <w:rFonts w:ascii="Times New Roman"/>
          <w:b w:val="false"/>
          <w:i w:val="false"/>
          <w:color w:val="000000"/>
          <w:sz w:val="28"/>
        </w:rPr>
        <w:t>
      4) услуги – осуществление банками (за исключением исламских банков), филиалами банков – нерезидентов Республики Казахстан и организациями, осуществляющими отдельные виды банковских операций:</w:t>
      </w:r>
    </w:p>
    <w:bookmarkEnd w:id="17"/>
    <w:bookmarkStart w:name="z24" w:id="18"/>
    <w:p>
      <w:pPr>
        <w:spacing w:after="0"/>
        <w:ind w:left="0"/>
        <w:jc w:val="both"/>
      </w:pPr>
      <w:r>
        <w:rPr>
          <w:rFonts w:ascii="Times New Roman"/>
          <w:b w:val="false"/>
          <w:i w:val="false"/>
          <w:color w:val="000000"/>
          <w:sz w:val="28"/>
        </w:rPr>
        <w:t>
      операций по приему депозитов (вкладов) в соответствии с договором банковского вклада (за исключением межбанковских вкладов);</w:t>
      </w:r>
    </w:p>
    <w:bookmarkEnd w:id="18"/>
    <w:bookmarkStart w:name="z25" w:id="19"/>
    <w:p>
      <w:pPr>
        <w:spacing w:after="0"/>
        <w:ind w:left="0"/>
        <w:jc w:val="both"/>
      </w:pPr>
      <w:r>
        <w:rPr>
          <w:rFonts w:ascii="Times New Roman"/>
          <w:b w:val="false"/>
          <w:i w:val="false"/>
          <w:color w:val="000000"/>
          <w:sz w:val="28"/>
        </w:rPr>
        <w:t>
      банковских заемных операций (за исключением межбанковских займов);</w:t>
      </w:r>
    </w:p>
    <w:bookmarkEnd w:id="19"/>
    <w:bookmarkStart w:name="z26" w:id="20"/>
    <w:p>
      <w:pPr>
        <w:spacing w:after="0"/>
        <w:ind w:left="0"/>
        <w:jc w:val="both"/>
      </w:pPr>
      <w:r>
        <w:rPr>
          <w:rFonts w:ascii="Times New Roman"/>
          <w:b w:val="false"/>
          <w:i w:val="false"/>
          <w:color w:val="000000"/>
          <w:sz w:val="28"/>
        </w:rPr>
        <w:t>
      5) вклад – прием банками (за исключением исламских банков), филиалами банков – нерезидентов Республики Казахстан и организациями, осуществляющими отдельные виды банковских операций депозита (вклада) от клиента в соответствии с договором банковского вклада;</w:t>
      </w:r>
    </w:p>
    <w:bookmarkEnd w:id="20"/>
    <w:bookmarkStart w:name="z27" w:id="21"/>
    <w:p>
      <w:pPr>
        <w:spacing w:after="0"/>
        <w:ind w:left="0"/>
        <w:jc w:val="both"/>
      </w:pPr>
      <w:r>
        <w:rPr>
          <w:rFonts w:ascii="Times New Roman"/>
          <w:b w:val="false"/>
          <w:i w:val="false"/>
          <w:color w:val="000000"/>
          <w:sz w:val="28"/>
        </w:rPr>
        <w:t>
      6) уполномоченный орган – уполномоченный орган по регулированию контролю и надзору финансового рынка и финансовых организаций.</w:t>
      </w:r>
    </w:p>
    <w:bookmarkEnd w:id="21"/>
    <w:bookmarkStart w:name="z28" w:id="22"/>
    <w:p>
      <w:pPr>
        <w:spacing w:after="0"/>
        <w:ind w:left="0"/>
        <w:jc w:val="both"/>
      </w:pPr>
      <w:r>
        <w:rPr>
          <w:rFonts w:ascii="Times New Roman"/>
          <w:b w:val="false"/>
          <w:i w:val="false"/>
          <w:color w:val="000000"/>
          <w:sz w:val="28"/>
        </w:rPr>
        <w:t>
      2. Годовая эффективная ставка вознаграждения указывается в цифровом выражении, в одинаковой по размеру и стилю оформления шрифтов (курсив, полужирный, выделение цветом) форме с другими ставками вознаграждения:</w:t>
      </w:r>
    </w:p>
    <w:bookmarkEnd w:id="22"/>
    <w:bookmarkStart w:name="z29" w:id="23"/>
    <w:p>
      <w:pPr>
        <w:spacing w:after="0"/>
        <w:ind w:left="0"/>
        <w:jc w:val="both"/>
      </w:pPr>
      <w:r>
        <w:rPr>
          <w:rFonts w:ascii="Times New Roman"/>
          <w:b w:val="false"/>
          <w:i w:val="false"/>
          <w:color w:val="000000"/>
          <w:sz w:val="28"/>
        </w:rPr>
        <w:t>
      1) при распространении информации, в том числе посредством публикации, рекламы, о величинах (размерах) вознаграждения по займам и (или) вкладам;</w:t>
      </w:r>
    </w:p>
    <w:bookmarkEnd w:id="23"/>
    <w:bookmarkStart w:name="z30" w:id="24"/>
    <w:p>
      <w:pPr>
        <w:spacing w:after="0"/>
        <w:ind w:left="0"/>
        <w:jc w:val="both"/>
      </w:pPr>
      <w:r>
        <w:rPr>
          <w:rFonts w:ascii="Times New Roman"/>
          <w:b w:val="false"/>
          <w:i w:val="false"/>
          <w:color w:val="000000"/>
          <w:sz w:val="28"/>
        </w:rPr>
        <w:t>
      2) в договоре, в соответствии с которым услуги предоставляются клиенту (далее – договор);</w:t>
      </w:r>
    </w:p>
    <w:bookmarkEnd w:id="24"/>
    <w:bookmarkStart w:name="z31" w:id="25"/>
    <w:p>
      <w:pPr>
        <w:spacing w:after="0"/>
        <w:ind w:left="0"/>
        <w:jc w:val="both"/>
      </w:pPr>
      <w:r>
        <w:rPr>
          <w:rFonts w:ascii="Times New Roman"/>
          <w:b w:val="false"/>
          <w:i w:val="false"/>
          <w:color w:val="000000"/>
          <w:sz w:val="28"/>
        </w:rPr>
        <w:t>
      3) в личном кабинете клиента на интернет-ресурсе, в мобильном приложении банков (за исключением исламских банков), филиалов банков – нерезидентов Республики Казахстан и организаций, осуществляющих отдельные виды банковских операций (далее – банк) при оказании ими электронных банковских услуг.</w:t>
      </w:r>
    </w:p>
    <w:bookmarkEnd w:id="25"/>
    <w:bookmarkStart w:name="z32" w:id="26"/>
    <w:p>
      <w:pPr>
        <w:spacing w:after="0"/>
        <w:ind w:left="0"/>
        <w:jc w:val="both"/>
      </w:pPr>
      <w:r>
        <w:rPr>
          <w:rFonts w:ascii="Times New Roman"/>
          <w:b w:val="false"/>
          <w:i w:val="false"/>
          <w:color w:val="000000"/>
          <w:sz w:val="28"/>
        </w:rPr>
        <w:t>
      3. В договоре размер годовой эффективной ставки вознаграждения указывается в одном предложении с другими ставками вознаграждения.</w:t>
      </w:r>
    </w:p>
    <w:bookmarkEnd w:id="26"/>
    <w:bookmarkStart w:name="z33" w:id="27"/>
    <w:p>
      <w:pPr>
        <w:spacing w:after="0"/>
        <w:ind w:left="0"/>
        <w:jc w:val="both"/>
      </w:pPr>
      <w:r>
        <w:rPr>
          <w:rFonts w:ascii="Times New Roman"/>
          <w:b w:val="false"/>
          <w:i w:val="false"/>
          <w:color w:val="000000"/>
          <w:sz w:val="28"/>
        </w:rPr>
        <w:t>
      Если общие условия отражаются в договоре в виде таблицы, годовая эффективная ставка вознаграждения указывается в отдельной строке (столбце), следующей после указания других ставок.</w:t>
      </w:r>
    </w:p>
    <w:bookmarkEnd w:id="27"/>
    <w:bookmarkStart w:name="z34" w:id="28"/>
    <w:p>
      <w:pPr>
        <w:spacing w:after="0"/>
        <w:ind w:left="0"/>
        <w:jc w:val="both"/>
      </w:pPr>
      <w:r>
        <w:rPr>
          <w:rFonts w:ascii="Times New Roman"/>
          <w:b w:val="false"/>
          <w:i w:val="false"/>
          <w:color w:val="000000"/>
          <w:sz w:val="28"/>
        </w:rPr>
        <w:t>
      4. При предоставлении займов физическим лицам, обеспечивается размещение средства автоматизированного расчета (калькулятора) годовой эффективной ставки вознаграждения, предназначенного для расчета клиентами годовой эффективной ставки вознаграждения с учетом всех платежей, связанных с услугой, и отображения ее итогового значения.</w:t>
      </w:r>
    </w:p>
    <w:bookmarkEnd w:id="28"/>
    <w:bookmarkStart w:name="z35" w:id="29"/>
    <w:p>
      <w:pPr>
        <w:spacing w:after="0"/>
        <w:ind w:left="0"/>
        <w:jc w:val="both"/>
      </w:pPr>
      <w:r>
        <w:rPr>
          <w:rFonts w:ascii="Times New Roman"/>
          <w:b w:val="false"/>
          <w:i w:val="false"/>
          <w:color w:val="000000"/>
          <w:sz w:val="28"/>
        </w:rPr>
        <w:t>
      5. Расчет годовой эффективной ставки вознаграждения производится:</w:t>
      </w:r>
    </w:p>
    <w:bookmarkEnd w:id="29"/>
    <w:bookmarkStart w:name="z36" w:id="30"/>
    <w:p>
      <w:pPr>
        <w:spacing w:after="0"/>
        <w:ind w:left="0"/>
        <w:jc w:val="both"/>
      </w:pPr>
      <w:r>
        <w:rPr>
          <w:rFonts w:ascii="Times New Roman"/>
          <w:b w:val="false"/>
          <w:i w:val="false"/>
          <w:color w:val="000000"/>
          <w:sz w:val="28"/>
        </w:rPr>
        <w:t>
      1) на дату заключения договора;</w:t>
      </w:r>
    </w:p>
    <w:bookmarkEnd w:id="30"/>
    <w:bookmarkStart w:name="z37" w:id="31"/>
    <w:p>
      <w:pPr>
        <w:spacing w:after="0"/>
        <w:ind w:left="0"/>
        <w:jc w:val="both"/>
      </w:pPr>
      <w:r>
        <w:rPr>
          <w:rFonts w:ascii="Times New Roman"/>
          <w:b w:val="false"/>
          <w:i w:val="false"/>
          <w:color w:val="000000"/>
          <w:sz w:val="28"/>
        </w:rPr>
        <w:t>
      2) по устному или письменному требованию клиента;</w:t>
      </w:r>
    </w:p>
    <w:bookmarkEnd w:id="31"/>
    <w:bookmarkStart w:name="z38" w:id="32"/>
    <w:p>
      <w:pPr>
        <w:spacing w:after="0"/>
        <w:ind w:left="0"/>
        <w:jc w:val="both"/>
      </w:pPr>
      <w:r>
        <w:rPr>
          <w:rFonts w:ascii="Times New Roman"/>
          <w:b w:val="false"/>
          <w:i w:val="false"/>
          <w:color w:val="000000"/>
          <w:sz w:val="28"/>
        </w:rPr>
        <w:t>
      3) в случае внесения изменений и (или) дополнений в договор, которые влекут изменение суммы (размера) денежных обязательств клиента и (или) банка и (или) сроков их исполнения;</w:t>
      </w:r>
    </w:p>
    <w:bookmarkEnd w:id="32"/>
    <w:bookmarkStart w:name="z39" w:id="33"/>
    <w:p>
      <w:pPr>
        <w:spacing w:after="0"/>
        <w:ind w:left="0"/>
        <w:jc w:val="both"/>
      </w:pPr>
      <w:r>
        <w:rPr>
          <w:rFonts w:ascii="Times New Roman"/>
          <w:b w:val="false"/>
          <w:i w:val="false"/>
          <w:color w:val="000000"/>
          <w:sz w:val="28"/>
        </w:rPr>
        <w:t xml:space="preserve">
      4) в случае осуществления клиентом в период обслуживания займа платежа, указанного в подпунктах 5), 6), 7) и 7-1) пункта 2 Перечня комиссий и иных платежей, связанных с выдачей и обслуживанием банковского займа, выданного физическому лицу,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218 "Об утверждении Перечня комиссий и иных платежей, связанных с выдачей и обслуживанием банковского займа, выданного физическому лицу" (зарегистрировано в Реестре государственной регистрации нормативных правовых актов под № 19702) (далее – Перечень), и не включенного в расчет годовой эффективной ставки вознаграждения на дату заключения договора.</w:t>
      </w:r>
    </w:p>
    <w:bookmarkEnd w:id="33"/>
    <w:bookmarkStart w:name="z40" w:id="34"/>
    <w:p>
      <w:pPr>
        <w:spacing w:after="0"/>
        <w:ind w:left="0"/>
        <w:jc w:val="both"/>
      </w:pPr>
      <w:r>
        <w:rPr>
          <w:rFonts w:ascii="Times New Roman"/>
          <w:b w:val="false"/>
          <w:i w:val="false"/>
          <w:color w:val="000000"/>
          <w:sz w:val="28"/>
        </w:rPr>
        <w:t>
      6. Клиент уведомляется об изменении размера годовой эффективной ставки вознаграждения в порядке, предусмотренном договором.</w:t>
      </w:r>
    </w:p>
    <w:bookmarkEnd w:id="34"/>
    <w:bookmarkStart w:name="z41" w:id="35"/>
    <w:p>
      <w:pPr>
        <w:spacing w:after="0"/>
        <w:ind w:left="0"/>
        <w:jc w:val="both"/>
      </w:pPr>
      <w:r>
        <w:rPr>
          <w:rFonts w:ascii="Times New Roman"/>
          <w:b w:val="false"/>
          <w:i w:val="false"/>
          <w:color w:val="000000"/>
          <w:sz w:val="28"/>
        </w:rPr>
        <w:t>
      7. В случае внесения изменений и (или) дополнений в договор банковского займа, которые влекут изменение суммы (размера) денежных обязательств клиента и (или) срока их уплаты, включая изменение ставки вознаграждения в случаях, предусмотренных Законом о банках и (или) договором банковского займа, годовая эффективная ставка вознаграждения по выданному займу рассчитывается банками на основании остатка основного долга, оставшегося срока кредитования на дату, с которой изменяются условия займа, комиссий, подлежащих оплате клиентом, и указывается в дополнительном соглашении к договору банковского займа.</w:t>
      </w:r>
    </w:p>
    <w:bookmarkEnd w:id="35"/>
    <w:bookmarkStart w:name="z42" w:id="36"/>
    <w:p>
      <w:pPr>
        <w:spacing w:after="0"/>
        <w:ind w:left="0"/>
        <w:jc w:val="both"/>
      </w:pPr>
      <w:r>
        <w:rPr>
          <w:rFonts w:ascii="Times New Roman"/>
          <w:b w:val="false"/>
          <w:i w:val="false"/>
          <w:color w:val="000000"/>
          <w:sz w:val="28"/>
        </w:rPr>
        <w:t>
      8. По требованию клиента расчет уточненного значения годовой эффективной ставки вознаграждения по займу производится банками по выбору клиента до конца срока действия договора банковского займа с учетом всех платежей, произведенных клиентом с начала срока действия договора, либо на основании оставшегося срока кредитования и остатка основного долга и доводится до него в письменной форме способом, предусмотренным договором банковского займа.</w:t>
      </w:r>
    </w:p>
    <w:bookmarkEnd w:id="36"/>
    <w:bookmarkStart w:name="z43" w:id="37"/>
    <w:p>
      <w:pPr>
        <w:spacing w:after="0"/>
        <w:ind w:left="0"/>
        <w:jc w:val="both"/>
      </w:pPr>
      <w:r>
        <w:rPr>
          <w:rFonts w:ascii="Times New Roman"/>
          <w:b w:val="false"/>
          <w:i w:val="false"/>
          <w:color w:val="000000"/>
          <w:sz w:val="28"/>
        </w:rPr>
        <w:t>
      9. При уступке прав (требований) по договору расчет годовой эффективной ставки вознаграждения в случаях, предусмотренных подпунктами 2), 3) и 4) пункта 5 Правил производится лицом, которому уступлены права (требования) по договору.</w:t>
      </w:r>
    </w:p>
    <w:bookmarkEnd w:id="37"/>
    <w:bookmarkStart w:name="z44" w:id="38"/>
    <w:p>
      <w:pPr>
        <w:spacing w:after="0"/>
        <w:ind w:left="0"/>
        <w:jc w:val="both"/>
      </w:pPr>
      <w:r>
        <w:rPr>
          <w:rFonts w:ascii="Times New Roman"/>
          <w:b w:val="false"/>
          <w:i w:val="false"/>
          <w:color w:val="000000"/>
          <w:sz w:val="28"/>
        </w:rPr>
        <w:t>
      10. Информация о величинах вознаграждения по услугам, доводимая до клиентов в любой форме и любым способом при предоставлении, распространении, раскрытии, рекламе услуг, в том числе при устном консультировании клиента, использовании средств массовой информации, объектов наружной (визуальной) рекламы, интернет-ресурсов, должны содержать сведения о годовой эффективной ставке вознаграждения.</w:t>
      </w:r>
    </w:p>
    <w:bookmarkEnd w:id="38"/>
    <w:bookmarkStart w:name="z45" w:id="39"/>
    <w:p>
      <w:pPr>
        <w:spacing w:after="0"/>
        <w:ind w:left="0"/>
        <w:jc w:val="left"/>
      </w:pPr>
      <w:r>
        <w:rPr>
          <w:rFonts w:ascii="Times New Roman"/>
          <w:b/>
          <w:i w:val="false"/>
          <w:color w:val="000000"/>
        </w:rPr>
        <w:t xml:space="preserve"> Глава 2. Расчет годовой эффективной ставки вознаграждения по займу</w:t>
      </w:r>
    </w:p>
    <w:bookmarkEnd w:id="39"/>
    <w:bookmarkStart w:name="z46" w:id="40"/>
    <w:p>
      <w:pPr>
        <w:spacing w:after="0"/>
        <w:ind w:left="0"/>
        <w:jc w:val="both"/>
      </w:pPr>
      <w:r>
        <w:rPr>
          <w:rFonts w:ascii="Times New Roman"/>
          <w:b w:val="false"/>
          <w:i w:val="false"/>
          <w:color w:val="000000"/>
          <w:sz w:val="28"/>
        </w:rPr>
        <w:t>
      11. Годовая эффективная ставка вознаграждения по займу рассчитывается по следующей формуле:</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168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68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где:</w:t>
      </w:r>
    </w:p>
    <w:bookmarkEnd w:id="42"/>
    <w:bookmarkStart w:name="z49" w:id="43"/>
    <w:p>
      <w:pPr>
        <w:spacing w:after="0"/>
        <w:ind w:left="0"/>
        <w:jc w:val="both"/>
      </w:pPr>
      <w:r>
        <w:rPr>
          <w:rFonts w:ascii="Times New Roman"/>
          <w:b w:val="false"/>
          <w:i w:val="false"/>
          <w:color w:val="000000"/>
          <w:sz w:val="28"/>
        </w:rPr>
        <w:t>
      D - сумма первого займа;</w:t>
      </w:r>
    </w:p>
    <w:bookmarkEnd w:id="43"/>
    <w:bookmarkStart w:name="z50" w:id="44"/>
    <w:p>
      <w:pPr>
        <w:spacing w:after="0"/>
        <w:ind w:left="0"/>
        <w:jc w:val="both"/>
      </w:pPr>
      <w:r>
        <w:rPr>
          <w:rFonts w:ascii="Times New Roman"/>
          <w:b w:val="false"/>
          <w:i w:val="false"/>
          <w:color w:val="000000"/>
          <w:sz w:val="28"/>
        </w:rPr>
        <w:t>
      k - общая сумма платежей клиента банку, связанных с получением займа, на дату получения первого займа;</w:t>
      </w:r>
    </w:p>
    <w:bookmarkEnd w:id="44"/>
    <w:bookmarkStart w:name="z51" w:id="45"/>
    <w:p>
      <w:pPr>
        <w:spacing w:after="0"/>
        <w:ind w:left="0"/>
        <w:jc w:val="both"/>
      </w:pPr>
      <w:r>
        <w:rPr>
          <w:rFonts w:ascii="Times New Roman"/>
          <w:b w:val="false"/>
          <w:i w:val="false"/>
          <w:color w:val="000000"/>
          <w:sz w:val="28"/>
        </w:rPr>
        <w:t>
      n - порядковый номер последней выплаты клиенту;</w:t>
      </w:r>
    </w:p>
    <w:bookmarkEnd w:id="45"/>
    <w:bookmarkStart w:name="z52" w:id="46"/>
    <w:p>
      <w:pPr>
        <w:spacing w:after="0"/>
        <w:ind w:left="0"/>
        <w:jc w:val="both"/>
      </w:pPr>
      <w:r>
        <w:rPr>
          <w:rFonts w:ascii="Times New Roman"/>
          <w:b w:val="false"/>
          <w:i w:val="false"/>
          <w:color w:val="000000"/>
          <w:sz w:val="28"/>
        </w:rPr>
        <w:t>
      j - порядковый номер выплаты клиенту после даты получения первого займа;</w:t>
      </w:r>
    </w:p>
    <w:bookmarkEnd w:id="46"/>
    <w:bookmarkStart w:name="z53" w:id="47"/>
    <w:p>
      <w:pPr>
        <w:spacing w:after="0"/>
        <w:ind w:left="0"/>
        <w:jc w:val="both"/>
      </w:pPr>
      <w:r>
        <w:rPr>
          <w:rFonts w:ascii="Times New Roman"/>
          <w:b w:val="false"/>
          <w:i w:val="false"/>
          <w:color w:val="000000"/>
          <w:sz w:val="28"/>
        </w:rPr>
        <w:t>
      Sj - сумма j-той выплаты клиенту, в том числе очередные займы;</w:t>
      </w:r>
    </w:p>
    <w:bookmarkEnd w:id="47"/>
    <w:bookmarkStart w:name="z54" w:id="48"/>
    <w:p>
      <w:pPr>
        <w:spacing w:after="0"/>
        <w:ind w:left="0"/>
        <w:jc w:val="both"/>
      </w:pPr>
      <w:r>
        <w:rPr>
          <w:rFonts w:ascii="Times New Roman"/>
          <w:b w:val="false"/>
          <w:i w:val="false"/>
          <w:color w:val="000000"/>
          <w:sz w:val="28"/>
        </w:rPr>
        <w:t>
      APR - годовая эффективная ставка вознаграждения;</w:t>
      </w:r>
    </w:p>
    <w:bookmarkEnd w:id="48"/>
    <w:bookmarkStart w:name="z55" w:id="49"/>
    <w:p>
      <w:pPr>
        <w:spacing w:after="0"/>
        <w:ind w:left="0"/>
        <w:jc w:val="both"/>
      </w:pPr>
      <w:r>
        <w:rPr>
          <w:rFonts w:ascii="Times New Roman"/>
          <w:b w:val="false"/>
          <w:i w:val="false"/>
          <w:color w:val="000000"/>
          <w:sz w:val="28"/>
        </w:rPr>
        <w:t>
      tj - период времени со дня предоставления первого займа до момента j-той выплаты клиенту (в днях);</w:t>
      </w:r>
    </w:p>
    <w:bookmarkEnd w:id="49"/>
    <w:bookmarkStart w:name="z56" w:id="50"/>
    <w:p>
      <w:pPr>
        <w:spacing w:after="0"/>
        <w:ind w:left="0"/>
        <w:jc w:val="both"/>
      </w:pPr>
      <w:r>
        <w:rPr>
          <w:rFonts w:ascii="Times New Roman"/>
          <w:b w:val="false"/>
          <w:i w:val="false"/>
          <w:color w:val="000000"/>
          <w:sz w:val="28"/>
        </w:rPr>
        <w:t>
      m - порядковый номер последнего платежа клиента;</w:t>
      </w:r>
    </w:p>
    <w:bookmarkEnd w:id="50"/>
    <w:bookmarkStart w:name="z57" w:id="51"/>
    <w:p>
      <w:pPr>
        <w:spacing w:after="0"/>
        <w:ind w:left="0"/>
        <w:jc w:val="both"/>
      </w:pPr>
      <w:r>
        <w:rPr>
          <w:rFonts w:ascii="Times New Roman"/>
          <w:b w:val="false"/>
          <w:i w:val="false"/>
          <w:color w:val="000000"/>
          <w:sz w:val="28"/>
        </w:rPr>
        <w:t>
      і - порядковый номер платежа клиента;</w:t>
      </w:r>
    </w:p>
    <w:bookmarkEnd w:id="51"/>
    <w:bookmarkStart w:name="z58" w:id="52"/>
    <w:p>
      <w:pPr>
        <w:spacing w:after="0"/>
        <w:ind w:left="0"/>
        <w:jc w:val="both"/>
      </w:pPr>
      <w:r>
        <w:rPr>
          <w:rFonts w:ascii="Times New Roman"/>
          <w:b w:val="false"/>
          <w:i w:val="false"/>
          <w:color w:val="000000"/>
          <w:sz w:val="28"/>
        </w:rPr>
        <w:t>
      Pi - сумма і-того платежа клиента после даты получения первого займа, включая платежи в соответствии с пунктами 12 и 13 Правил;</w:t>
      </w:r>
    </w:p>
    <w:bookmarkEnd w:id="52"/>
    <w:bookmarkStart w:name="z59" w:id="53"/>
    <w:p>
      <w:pPr>
        <w:spacing w:after="0"/>
        <w:ind w:left="0"/>
        <w:jc w:val="both"/>
      </w:pPr>
      <w:r>
        <w:rPr>
          <w:rFonts w:ascii="Times New Roman"/>
          <w:b w:val="false"/>
          <w:i w:val="false"/>
          <w:color w:val="000000"/>
          <w:sz w:val="28"/>
        </w:rPr>
        <w:t>
      ti - период времени со дня предоставления первого займа до момента і-того платежа клиента (в днях).</w:t>
      </w:r>
    </w:p>
    <w:bookmarkEnd w:id="53"/>
    <w:bookmarkStart w:name="z60" w:id="54"/>
    <w:p>
      <w:pPr>
        <w:spacing w:after="0"/>
        <w:ind w:left="0"/>
        <w:jc w:val="both"/>
      </w:pPr>
      <w:r>
        <w:rPr>
          <w:rFonts w:ascii="Times New Roman"/>
          <w:b w:val="false"/>
          <w:i w:val="false"/>
          <w:color w:val="000000"/>
          <w:sz w:val="28"/>
        </w:rPr>
        <w:t>
      12. В расчет годовой эффективной ставки вознаграждения по займу включаются платежи клиента по основному долгу и вознаграждению, а также комиссии и иные платежи, связанные с выдачей и обслуживанием займа, указанные в пунктах 13 и 14 Правил.</w:t>
      </w:r>
    </w:p>
    <w:bookmarkEnd w:id="54"/>
    <w:bookmarkStart w:name="z61" w:id="55"/>
    <w:p>
      <w:pPr>
        <w:spacing w:after="0"/>
        <w:ind w:left="0"/>
        <w:jc w:val="both"/>
      </w:pPr>
      <w:r>
        <w:rPr>
          <w:rFonts w:ascii="Times New Roman"/>
          <w:b w:val="false"/>
          <w:i w:val="false"/>
          <w:color w:val="000000"/>
          <w:sz w:val="28"/>
        </w:rPr>
        <w:t>
      13. В расчет годовой эффективной ставки вознаграждения по займу, выдаваемому клиенту – юридическому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 а также следующие платежи клиента в пользу третьих лиц:</w:t>
      </w:r>
    </w:p>
    <w:bookmarkEnd w:id="55"/>
    <w:bookmarkStart w:name="z62" w:id="56"/>
    <w:p>
      <w:pPr>
        <w:spacing w:after="0"/>
        <w:ind w:left="0"/>
        <w:jc w:val="both"/>
      </w:pPr>
      <w:r>
        <w:rPr>
          <w:rFonts w:ascii="Times New Roman"/>
          <w:b w:val="false"/>
          <w:i w:val="false"/>
          <w:color w:val="000000"/>
          <w:sz w:val="28"/>
        </w:rPr>
        <w:t>
      1) платежи клиента в пользу страховой (перестраховочной) организации, в том числе за счет суммы займа, осуществляемые в рамках договоров добровольного страхования при предоставлении займа, заключение которых оказывает влияние на условия предоставления (изменения) займа либо вытекает из условий займа, включая договоры страхования предмета залога, находящегося в пользовании залогодателя и обеспечивающего обязательства клиента;</w:t>
      </w:r>
    </w:p>
    <w:bookmarkEnd w:id="56"/>
    <w:bookmarkStart w:name="z63" w:id="57"/>
    <w:p>
      <w:pPr>
        <w:spacing w:after="0"/>
        <w:ind w:left="0"/>
        <w:jc w:val="both"/>
      </w:pPr>
      <w:r>
        <w:rPr>
          <w:rFonts w:ascii="Times New Roman"/>
          <w:b w:val="false"/>
          <w:i w:val="false"/>
          <w:color w:val="000000"/>
          <w:sz w:val="28"/>
        </w:rPr>
        <w:t>
      2) платежи клиента гаранту (поручителю) за получение гарантии (поручительства), оценщику за проведение оценки передаваемого в залог имущества;</w:t>
      </w:r>
    </w:p>
    <w:bookmarkEnd w:id="57"/>
    <w:bookmarkStart w:name="z64" w:id="58"/>
    <w:p>
      <w:pPr>
        <w:spacing w:after="0"/>
        <w:ind w:left="0"/>
        <w:jc w:val="both"/>
      </w:pPr>
      <w:r>
        <w:rPr>
          <w:rFonts w:ascii="Times New Roman"/>
          <w:b w:val="false"/>
          <w:i w:val="false"/>
          <w:color w:val="000000"/>
          <w:sz w:val="28"/>
        </w:rPr>
        <w:t>
      3) платежи клиента в пользу организаций (посредников), оказывающих услуги банками и организациям, осуществляющими отдельные виды банковских операций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банкам, приему платежей и переводов от клиентов в счет погашения займов;</w:t>
      </w:r>
    </w:p>
    <w:bookmarkEnd w:id="58"/>
    <w:bookmarkStart w:name="z65" w:id="59"/>
    <w:p>
      <w:pPr>
        <w:spacing w:after="0"/>
        <w:ind w:left="0"/>
        <w:jc w:val="both"/>
      </w:pPr>
      <w:r>
        <w:rPr>
          <w:rFonts w:ascii="Times New Roman"/>
          <w:b w:val="false"/>
          <w:i w:val="false"/>
          <w:color w:val="000000"/>
          <w:sz w:val="28"/>
        </w:rPr>
        <w:t>
      4) комиссии и платежи клиента в пользу банка и (или) иных организаций в рамках договора банковского счета и (или) договора банковского обслуживания, связанные с получением и (или) обслуживанием займа, и не предусмотренные подпунктами 1), 2) и 3) настоящего пункта.</w:t>
      </w:r>
    </w:p>
    <w:bookmarkEnd w:id="59"/>
    <w:bookmarkStart w:name="z66" w:id="60"/>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указанных в подпунктах 1), 2), 3) и 4) части первой настоящего пункта, за весь срок кредитования, то в расчет годовой эффективной ставки вознаграждения по займу включаются платежи за весь срок кредитования, исходя из тарифов данных лиц, определенных на день заключения с ними договоров.</w:t>
      </w:r>
    </w:p>
    <w:bookmarkEnd w:id="60"/>
    <w:bookmarkStart w:name="z67" w:id="61"/>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а также платежи, указанные в подпунктах 1), 2), 3) и 4) части первой настоящего пункта,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w:t>
      </w:r>
    </w:p>
    <w:bookmarkEnd w:id="61"/>
    <w:bookmarkStart w:name="z68" w:id="62"/>
    <w:p>
      <w:pPr>
        <w:spacing w:after="0"/>
        <w:ind w:left="0"/>
        <w:jc w:val="both"/>
      </w:pPr>
      <w:r>
        <w:rPr>
          <w:rFonts w:ascii="Times New Roman"/>
          <w:b w:val="false"/>
          <w:i w:val="false"/>
          <w:color w:val="000000"/>
          <w:sz w:val="28"/>
        </w:rPr>
        <w:t>
      14. В расчет годовой эффективной ставки вознаграждения по займу, выдаваемому клиенту – физическому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w:t>
      </w:r>
    </w:p>
    <w:bookmarkEnd w:id="62"/>
    <w:bookmarkStart w:name="z69" w:id="63"/>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в пользу лиц, указанных в подпунктах 5), 6), 7) и 7-1) пункта 2 Перечня, на весь срок кредитования, в расчет годовой эффективной ставки вознаграждения включаются платежи за весь срок кредитования, исходя из тарифов, установленных данными лицами и определенных на дату заключения с ними договоров.</w:t>
      </w:r>
    </w:p>
    <w:bookmarkEnd w:id="63"/>
    <w:bookmarkStart w:name="z70" w:id="64"/>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указанные в подпунктах 3), 4), 5), 6), 7), 7-1) и 8) пункта 2 Перечня,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 или при их введении в период обслуживания банковского займа.</w:t>
      </w:r>
    </w:p>
    <w:bookmarkEnd w:id="64"/>
    <w:bookmarkStart w:name="z71" w:id="65"/>
    <w:p>
      <w:pPr>
        <w:spacing w:after="0"/>
        <w:ind w:left="0"/>
        <w:jc w:val="both"/>
      </w:pPr>
      <w:r>
        <w:rPr>
          <w:rFonts w:ascii="Times New Roman"/>
          <w:b w:val="false"/>
          <w:i w:val="false"/>
          <w:color w:val="000000"/>
          <w:sz w:val="28"/>
        </w:rPr>
        <w:t>
      15. В расчет годовой эффективной ставки вознаграждения по займу не включаются:</w:t>
      </w:r>
    </w:p>
    <w:bookmarkEnd w:id="65"/>
    <w:bookmarkStart w:name="z72" w:id="66"/>
    <w:p>
      <w:pPr>
        <w:spacing w:after="0"/>
        <w:ind w:left="0"/>
        <w:jc w:val="both"/>
      </w:pPr>
      <w:r>
        <w:rPr>
          <w:rFonts w:ascii="Times New Roman"/>
          <w:b w:val="false"/>
          <w:i w:val="false"/>
          <w:color w:val="000000"/>
          <w:sz w:val="28"/>
        </w:rPr>
        <w:t>
      1) платежи клиента в пользу третьих лиц, за исключением платежей, указанных в подпунктах 1), 2), 3) и 4) части первой пункта 13 Правил и в подпунктах 5), 6), 7) и 8) пункта 2 Перечня;</w:t>
      </w:r>
    </w:p>
    <w:bookmarkEnd w:id="66"/>
    <w:bookmarkStart w:name="z73" w:id="67"/>
    <w:p>
      <w:pPr>
        <w:spacing w:after="0"/>
        <w:ind w:left="0"/>
        <w:jc w:val="both"/>
      </w:pPr>
      <w:r>
        <w:rPr>
          <w:rFonts w:ascii="Times New Roman"/>
          <w:b w:val="false"/>
          <w:i w:val="false"/>
          <w:color w:val="000000"/>
          <w:sz w:val="28"/>
        </w:rPr>
        <w:t>
      2) платежи клиента, связанные с несоблюдением им условий договора банковского займа, включая неустойку и иные виды штрафных санкций, в том числе за превышение лимита овердрафта, установленного клиенту.</w:t>
      </w:r>
    </w:p>
    <w:bookmarkEnd w:id="67"/>
    <w:bookmarkStart w:name="z74" w:id="68"/>
    <w:p>
      <w:pPr>
        <w:spacing w:after="0"/>
        <w:ind w:left="0"/>
        <w:jc w:val="both"/>
      </w:pPr>
      <w:r>
        <w:rPr>
          <w:rFonts w:ascii="Times New Roman"/>
          <w:b w:val="false"/>
          <w:i w:val="false"/>
          <w:color w:val="000000"/>
          <w:sz w:val="28"/>
        </w:rPr>
        <w:t>
      16. По займу, выданному с использованием кредитной карточки, в расчет годовой эффективной ставки вознаграждения помимо платежей и комиссий, указанных в пункте 15 Правил, также не включаются:</w:t>
      </w:r>
    </w:p>
    <w:bookmarkEnd w:id="68"/>
    <w:bookmarkStart w:name="z75" w:id="69"/>
    <w:p>
      <w:pPr>
        <w:spacing w:after="0"/>
        <w:ind w:left="0"/>
        <w:jc w:val="both"/>
      </w:pPr>
      <w:r>
        <w:rPr>
          <w:rFonts w:ascii="Times New Roman"/>
          <w:b w:val="false"/>
          <w:i w:val="false"/>
          <w:color w:val="000000"/>
          <w:sz w:val="28"/>
        </w:rPr>
        <w:t>
      1) комиссия за осуществление операций в валюте, отличной от валюты счета (валюты предоставленного займа);</w:t>
      </w:r>
    </w:p>
    <w:bookmarkEnd w:id="69"/>
    <w:bookmarkStart w:name="z76" w:id="70"/>
    <w:p>
      <w:pPr>
        <w:spacing w:after="0"/>
        <w:ind w:left="0"/>
        <w:jc w:val="both"/>
      </w:pPr>
      <w:r>
        <w:rPr>
          <w:rFonts w:ascii="Times New Roman"/>
          <w:b w:val="false"/>
          <w:i w:val="false"/>
          <w:color w:val="000000"/>
          <w:sz w:val="28"/>
        </w:rPr>
        <w:t>
      2) комиссия за выпуск и обслуживание кредитной карточки, в том числе за приостановление (возобновление) операций по кредитной карточке;</w:t>
      </w:r>
    </w:p>
    <w:bookmarkEnd w:id="70"/>
    <w:bookmarkStart w:name="z77" w:id="71"/>
    <w:p>
      <w:pPr>
        <w:spacing w:after="0"/>
        <w:ind w:left="0"/>
        <w:jc w:val="both"/>
      </w:pPr>
      <w:r>
        <w:rPr>
          <w:rFonts w:ascii="Times New Roman"/>
          <w:b w:val="false"/>
          <w:i w:val="false"/>
          <w:color w:val="000000"/>
          <w:sz w:val="28"/>
        </w:rPr>
        <w:t>
      3) комиссия за получение суммы займа наличными деньгами с использованием банкоматов.</w:t>
      </w:r>
    </w:p>
    <w:bookmarkEnd w:id="71"/>
    <w:bookmarkStart w:name="z78" w:id="72"/>
    <w:p>
      <w:pPr>
        <w:spacing w:after="0"/>
        <w:ind w:left="0"/>
        <w:jc w:val="both"/>
      </w:pPr>
      <w:r>
        <w:rPr>
          <w:rFonts w:ascii="Times New Roman"/>
          <w:b w:val="false"/>
          <w:i w:val="false"/>
          <w:color w:val="000000"/>
          <w:sz w:val="28"/>
        </w:rPr>
        <w:t>
      17. В случае зависимости ставки вознаграждения по займу от базовых показателей (уровень инфляции, базовая ставка Национального Банка Республики Казахстан, ставка SOFR, курс иностранной валюты и другие) банк использует значение базового показателя на дату исчисления годовой эффективной ставки вознаграждения.</w:t>
      </w:r>
    </w:p>
    <w:bookmarkEnd w:id="72"/>
    <w:bookmarkStart w:name="z79" w:id="73"/>
    <w:p>
      <w:pPr>
        <w:spacing w:after="0"/>
        <w:ind w:left="0"/>
        <w:jc w:val="both"/>
      </w:pPr>
      <w:r>
        <w:rPr>
          <w:rFonts w:ascii="Times New Roman"/>
          <w:b w:val="false"/>
          <w:i w:val="false"/>
          <w:color w:val="000000"/>
          <w:sz w:val="28"/>
        </w:rPr>
        <w:t>
      18. При предоставлении кредитной линии посредством заключения соглашения о предоставлении (открытии) кредитной линии годовая эффективная ставка вознаграждения указывается в соглашении о предоставлении (открытии) кредитной линии и в каждом договоре, заключенном в рамках данного соглашения, исходя из установленных в них условий.</w:t>
      </w:r>
    </w:p>
    <w:bookmarkEnd w:id="73"/>
    <w:bookmarkStart w:name="z80" w:id="74"/>
    <w:p>
      <w:pPr>
        <w:spacing w:after="0"/>
        <w:ind w:left="0"/>
        <w:jc w:val="both"/>
      </w:pPr>
      <w:r>
        <w:rPr>
          <w:rFonts w:ascii="Times New Roman"/>
          <w:b w:val="false"/>
          <w:i w:val="false"/>
          <w:color w:val="000000"/>
          <w:sz w:val="28"/>
        </w:rPr>
        <w:t>
      В случае отсутствия в соглашении о предоставлении (открытии) кредитной линии значений, необходимых для расчета годовой эффективной ставки вознаграждения, и при отсутствии возможности рассчитать ее с учетом условий, предусмотренных в пункте 16 Правил, годовая эффективная ставка вознаграждения не указывается в соглашении об открытии кредитной линии, и комиссии, связанные с его заключением, включаются в расчет годовой эффективной ставки вознаграждения по первому договору банковского займа, заключенному в рамках соглашения.</w:t>
      </w:r>
    </w:p>
    <w:bookmarkEnd w:id="74"/>
    <w:bookmarkStart w:name="z81" w:id="75"/>
    <w:p>
      <w:pPr>
        <w:spacing w:after="0"/>
        <w:ind w:left="0"/>
        <w:jc w:val="both"/>
      </w:pPr>
      <w:r>
        <w:rPr>
          <w:rFonts w:ascii="Times New Roman"/>
          <w:b w:val="false"/>
          <w:i w:val="false"/>
          <w:color w:val="000000"/>
          <w:sz w:val="28"/>
        </w:rPr>
        <w:t>
      19. При расчете годовой эффективной ставки вознаграждения по займу учитываются следующие условия:</w:t>
      </w:r>
    </w:p>
    <w:bookmarkEnd w:id="75"/>
    <w:bookmarkStart w:name="z82" w:id="76"/>
    <w:p>
      <w:pPr>
        <w:spacing w:after="0"/>
        <w:ind w:left="0"/>
        <w:jc w:val="both"/>
      </w:pPr>
      <w:r>
        <w:rPr>
          <w:rFonts w:ascii="Times New Roman"/>
          <w:b w:val="false"/>
          <w:i w:val="false"/>
          <w:color w:val="000000"/>
          <w:sz w:val="28"/>
        </w:rPr>
        <w:t>
      1) если соглашением об открытии кредитной линии или договором банковского займа предусмотрено право получения займа клиентом в размерах и сроки в зависимости от его решения, расчет годовой эффективной ставки вознаграждения осуществляется исходя из того, что заем предоставлен в момент заключения соглашения об открытии кредитной линии или договора банковского займа на максимально возможную сумму, предусмотренную соглашением об открытии кредитной линии или договором банковского займа;</w:t>
      </w:r>
    </w:p>
    <w:bookmarkEnd w:id="76"/>
    <w:bookmarkStart w:name="z83" w:id="77"/>
    <w:p>
      <w:pPr>
        <w:spacing w:after="0"/>
        <w:ind w:left="0"/>
        <w:jc w:val="both"/>
      </w:pPr>
      <w:r>
        <w:rPr>
          <w:rFonts w:ascii="Times New Roman"/>
          <w:b w:val="false"/>
          <w:i w:val="false"/>
          <w:color w:val="000000"/>
          <w:sz w:val="28"/>
        </w:rPr>
        <w:t>
      2) если соглашением об открытии кредитной линии или договором банковского займа в зависимости от условий предусмотрены различные ставки вознаграждения и комиссий, в расчете годовой эффективной ставки вознаграждения используются максимальные ставки вознаграждения и комиссии;</w:t>
      </w:r>
    </w:p>
    <w:bookmarkEnd w:id="77"/>
    <w:bookmarkStart w:name="z84" w:id="78"/>
    <w:p>
      <w:pPr>
        <w:spacing w:after="0"/>
        <w:ind w:left="0"/>
        <w:jc w:val="both"/>
      </w:pPr>
      <w:r>
        <w:rPr>
          <w:rFonts w:ascii="Times New Roman"/>
          <w:b w:val="false"/>
          <w:i w:val="false"/>
          <w:color w:val="000000"/>
          <w:sz w:val="28"/>
        </w:rPr>
        <w:t>
      3) если в соглашении об открытии кредитной линии или договоре банковского займа оговаривается несколько возможных дат погашения займа при отсутствии других указаний, расчет годовой эффективной ставки вознаграждения осуществляется исходя из того, что заем погашается в самые ранние из указанных сроков;</w:t>
      </w:r>
    </w:p>
    <w:bookmarkEnd w:id="78"/>
    <w:bookmarkStart w:name="z85" w:id="79"/>
    <w:p>
      <w:pPr>
        <w:spacing w:after="0"/>
        <w:ind w:left="0"/>
        <w:jc w:val="both"/>
      </w:pPr>
      <w:r>
        <w:rPr>
          <w:rFonts w:ascii="Times New Roman"/>
          <w:b w:val="false"/>
          <w:i w:val="false"/>
          <w:color w:val="000000"/>
          <w:sz w:val="28"/>
        </w:rPr>
        <w:t>
      4) если отсутствует график погашения займа и в условиях соглашения об открытии кредитной линии или договора банковского займа не определен срок займа, даты и суммы погашений, расчет годовой эффективной ставки вознаграждения осуществляется исходя из того, что заем предоставлен на максимально возможную сумму займа (лимит), сроком на год со дня заключения соглашения об открытии кредитной линии или договора банковского займа с погашением займа двенадцатью равномерными платежами (возврат основной суммы долга, уплата вознаграждения по займу и иные платежи, определенные условиями соглашения об открытии кредитной линии или договора банковского займа), за исключением случаев, когда соглашением об открытии кредитной линии или договором банковского займа предусмотрен минимальный ежемесячный (регулярный) платеж.</w:t>
      </w:r>
    </w:p>
    <w:bookmarkEnd w:id="79"/>
    <w:bookmarkStart w:name="z86" w:id="80"/>
    <w:p>
      <w:pPr>
        <w:spacing w:after="0"/>
        <w:ind w:left="0"/>
        <w:jc w:val="left"/>
      </w:pPr>
      <w:r>
        <w:rPr>
          <w:rFonts w:ascii="Times New Roman"/>
          <w:b/>
          <w:i w:val="false"/>
          <w:color w:val="000000"/>
        </w:rPr>
        <w:t xml:space="preserve"> Глава 3. Расчет годовой эффективной ставки вознаграждения по вкладу</w:t>
      </w:r>
    </w:p>
    <w:bookmarkEnd w:id="80"/>
    <w:bookmarkStart w:name="z87" w:id="81"/>
    <w:p>
      <w:pPr>
        <w:spacing w:after="0"/>
        <w:ind w:left="0"/>
        <w:jc w:val="both"/>
      </w:pPr>
      <w:r>
        <w:rPr>
          <w:rFonts w:ascii="Times New Roman"/>
          <w:b w:val="false"/>
          <w:i w:val="false"/>
          <w:color w:val="000000"/>
          <w:sz w:val="28"/>
        </w:rPr>
        <w:t>
      20. Годовая эффективная ставка вознаграждения по вкладу рассчитывается по следующей формуле:</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4889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где:</w:t>
      </w:r>
    </w:p>
    <w:bookmarkEnd w:id="83"/>
    <w:bookmarkStart w:name="z90" w:id="84"/>
    <w:p>
      <w:pPr>
        <w:spacing w:after="0"/>
        <w:ind w:left="0"/>
        <w:jc w:val="both"/>
      </w:pPr>
      <w:r>
        <w:rPr>
          <w:rFonts w:ascii="Times New Roman"/>
          <w:b w:val="false"/>
          <w:i w:val="false"/>
          <w:color w:val="000000"/>
          <w:sz w:val="28"/>
        </w:rPr>
        <w:t>
      n - порядковый номер последнего платежа клиента;</w:t>
      </w:r>
    </w:p>
    <w:bookmarkEnd w:id="84"/>
    <w:bookmarkStart w:name="z91" w:id="85"/>
    <w:p>
      <w:pPr>
        <w:spacing w:after="0"/>
        <w:ind w:left="0"/>
        <w:jc w:val="both"/>
      </w:pPr>
      <w:r>
        <w:rPr>
          <w:rFonts w:ascii="Times New Roman"/>
          <w:b w:val="false"/>
          <w:i w:val="false"/>
          <w:color w:val="000000"/>
          <w:sz w:val="28"/>
        </w:rPr>
        <w:t>
      j - порядковый номер платежа клиента;</w:t>
      </w:r>
    </w:p>
    <w:bookmarkEnd w:id="85"/>
    <w:bookmarkStart w:name="z92" w:id="86"/>
    <w:p>
      <w:pPr>
        <w:spacing w:after="0"/>
        <w:ind w:left="0"/>
        <w:jc w:val="both"/>
      </w:pPr>
      <w:r>
        <w:rPr>
          <w:rFonts w:ascii="Times New Roman"/>
          <w:b w:val="false"/>
          <w:i w:val="false"/>
          <w:color w:val="000000"/>
          <w:sz w:val="28"/>
        </w:rPr>
        <w:t>
      Lj - сумма j-того платежа клиента банку, в том числе внесение вклада и иные платежи, связанные с внесением вклада и его обслуживанием;</w:t>
      </w:r>
    </w:p>
    <w:bookmarkEnd w:id="86"/>
    <w:bookmarkStart w:name="z93" w:id="87"/>
    <w:p>
      <w:pPr>
        <w:spacing w:after="0"/>
        <w:ind w:left="0"/>
        <w:jc w:val="both"/>
      </w:pPr>
      <w:r>
        <w:rPr>
          <w:rFonts w:ascii="Times New Roman"/>
          <w:b w:val="false"/>
          <w:i w:val="false"/>
          <w:color w:val="000000"/>
          <w:sz w:val="28"/>
        </w:rPr>
        <w:t>
      APR - годовая эффективная ставка вознаграждения;</w:t>
      </w:r>
    </w:p>
    <w:bookmarkEnd w:id="87"/>
    <w:bookmarkStart w:name="z94" w:id="88"/>
    <w:p>
      <w:pPr>
        <w:spacing w:after="0"/>
        <w:ind w:left="0"/>
        <w:jc w:val="both"/>
      </w:pPr>
      <w:r>
        <w:rPr>
          <w:rFonts w:ascii="Times New Roman"/>
          <w:b w:val="false"/>
          <w:i w:val="false"/>
          <w:color w:val="000000"/>
          <w:sz w:val="28"/>
        </w:rPr>
        <w:t>
      tj - период времени со дня привлечения вклада до момента j-того платежа клиента (в днях);</w:t>
      </w:r>
    </w:p>
    <w:bookmarkEnd w:id="88"/>
    <w:bookmarkStart w:name="z95" w:id="89"/>
    <w:p>
      <w:pPr>
        <w:spacing w:after="0"/>
        <w:ind w:left="0"/>
        <w:jc w:val="both"/>
      </w:pPr>
      <w:r>
        <w:rPr>
          <w:rFonts w:ascii="Times New Roman"/>
          <w:b w:val="false"/>
          <w:i w:val="false"/>
          <w:color w:val="000000"/>
          <w:sz w:val="28"/>
        </w:rPr>
        <w:t>
      m - порядковый номер последней выплаты клиенту;</w:t>
      </w:r>
    </w:p>
    <w:bookmarkEnd w:id="89"/>
    <w:bookmarkStart w:name="z96" w:id="90"/>
    <w:p>
      <w:pPr>
        <w:spacing w:after="0"/>
        <w:ind w:left="0"/>
        <w:jc w:val="both"/>
      </w:pPr>
      <w:r>
        <w:rPr>
          <w:rFonts w:ascii="Times New Roman"/>
          <w:b w:val="false"/>
          <w:i w:val="false"/>
          <w:color w:val="000000"/>
          <w:sz w:val="28"/>
        </w:rPr>
        <w:t>
      і - порядковый номер выплаты клиенту;</w:t>
      </w:r>
    </w:p>
    <w:bookmarkEnd w:id="90"/>
    <w:bookmarkStart w:name="z97" w:id="91"/>
    <w:p>
      <w:pPr>
        <w:spacing w:after="0"/>
        <w:ind w:left="0"/>
        <w:jc w:val="both"/>
      </w:pPr>
      <w:r>
        <w:rPr>
          <w:rFonts w:ascii="Times New Roman"/>
          <w:b w:val="false"/>
          <w:i w:val="false"/>
          <w:color w:val="000000"/>
          <w:sz w:val="28"/>
        </w:rPr>
        <w:t>
      Pi - сумма і-той выплаты клиенту, в том числе вознаграждения по вкладам, возврат вкладов, а также премии государства в системе жилищных строительных сбережений;</w:t>
      </w:r>
    </w:p>
    <w:bookmarkEnd w:id="91"/>
    <w:bookmarkStart w:name="z98" w:id="92"/>
    <w:p>
      <w:pPr>
        <w:spacing w:after="0"/>
        <w:ind w:left="0"/>
        <w:jc w:val="both"/>
      </w:pPr>
      <w:r>
        <w:rPr>
          <w:rFonts w:ascii="Times New Roman"/>
          <w:b w:val="false"/>
          <w:i w:val="false"/>
          <w:color w:val="000000"/>
          <w:sz w:val="28"/>
        </w:rPr>
        <w:t>
      ti - период времени со дня привлечения вклада до момента і-той выплаты (в днях).</w:t>
      </w:r>
    </w:p>
    <w:bookmarkEnd w:id="92"/>
    <w:bookmarkStart w:name="z99" w:id="93"/>
    <w:p>
      <w:pPr>
        <w:spacing w:after="0"/>
        <w:ind w:left="0"/>
        <w:jc w:val="both"/>
      </w:pPr>
      <w:r>
        <w:rPr>
          <w:rFonts w:ascii="Times New Roman"/>
          <w:b w:val="false"/>
          <w:i w:val="false"/>
          <w:color w:val="000000"/>
          <w:sz w:val="28"/>
        </w:rPr>
        <w:t>
      21. При исчислении годовой эффективной ставки вознаграждения по вкладу учитываются следующие условия:</w:t>
      </w:r>
    </w:p>
    <w:bookmarkEnd w:id="93"/>
    <w:bookmarkStart w:name="z100" w:id="94"/>
    <w:p>
      <w:pPr>
        <w:spacing w:after="0"/>
        <w:ind w:left="0"/>
        <w:jc w:val="both"/>
      </w:pPr>
      <w:r>
        <w:rPr>
          <w:rFonts w:ascii="Times New Roman"/>
          <w:b w:val="false"/>
          <w:i w:val="false"/>
          <w:color w:val="000000"/>
          <w:sz w:val="28"/>
        </w:rPr>
        <w:t>
      1) если договором банковского вклада не определен срок возврата вклада, вклад считается внесенным сроком на один год со дня заключения договора банковского вклада;</w:t>
      </w:r>
    </w:p>
    <w:bookmarkEnd w:id="94"/>
    <w:bookmarkStart w:name="z101" w:id="95"/>
    <w:p>
      <w:pPr>
        <w:spacing w:after="0"/>
        <w:ind w:left="0"/>
        <w:jc w:val="both"/>
      </w:pPr>
      <w:r>
        <w:rPr>
          <w:rFonts w:ascii="Times New Roman"/>
          <w:b w:val="false"/>
          <w:i w:val="false"/>
          <w:color w:val="000000"/>
          <w:sz w:val="28"/>
        </w:rPr>
        <w:t>
      2) если по условиям договора банковского вклада ставка вознаграждения по вкладу отсутствует, годовая эффективная ставка вознаграждения рассчитывается с учетом комиссий банка и указывается в договоре банковского вклада.</w:t>
      </w:r>
    </w:p>
    <w:bookmarkEnd w:id="95"/>
    <w:bookmarkStart w:name="z102" w:id="96"/>
    <w:p>
      <w:pPr>
        <w:spacing w:after="0"/>
        <w:ind w:left="0"/>
        <w:jc w:val="left"/>
      </w:pPr>
      <w:r>
        <w:rPr>
          <w:rFonts w:ascii="Times New Roman"/>
          <w:b/>
          <w:i w:val="false"/>
          <w:color w:val="000000"/>
        </w:rPr>
        <w:t xml:space="preserve"> Глава 4. Методы исчисления и округления годовой эффективной ставки вознаграждения</w:t>
      </w:r>
    </w:p>
    <w:bookmarkEnd w:id="96"/>
    <w:bookmarkStart w:name="z103" w:id="97"/>
    <w:p>
      <w:pPr>
        <w:spacing w:after="0"/>
        <w:ind w:left="0"/>
        <w:jc w:val="both"/>
      </w:pPr>
      <w:r>
        <w:rPr>
          <w:rFonts w:ascii="Times New Roman"/>
          <w:b w:val="false"/>
          <w:i w:val="false"/>
          <w:color w:val="000000"/>
          <w:sz w:val="28"/>
        </w:rPr>
        <w:t xml:space="preserve">
      22. Исчисление годовой эффективной ставки вознаграждения осуществляется алгебраическим методом, на основе формул указанных в пунктах 11 или 20 Правил, последовательными приближениями, с учетом округления в соответствии с пунктом 23 Правил. </w:t>
      </w:r>
    </w:p>
    <w:bookmarkEnd w:id="97"/>
    <w:bookmarkStart w:name="z104" w:id="98"/>
    <w:p>
      <w:pPr>
        <w:spacing w:after="0"/>
        <w:ind w:left="0"/>
        <w:jc w:val="both"/>
      </w:pPr>
      <w:r>
        <w:rPr>
          <w:rFonts w:ascii="Times New Roman"/>
          <w:b w:val="false"/>
          <w:i w:val="false"/>
          <w:color w:val="000000"/>
          <w:sz w:val="28"/>
        </w:rPr>
        <w:t>
      Произведенные выплаты клиентом банку и выплаты банком клиенту учитываются на даты их фактических выплат, будущие – согласно графику выплат.</w:t>
      </w:r>
    </w:p>
    <w:bookmarkEnd w:id="98"/>
    <w:bookmarkStart w:name="z105" w:id="99"/>
    <w:p>
      <w:pPr>
        <w:spacing w:after="0"/>
        <w:ind w:left="0"/>
        <w:jc w:val="both"/>
      </w:pPr>
      <w:r>
        <w:rPr>
          <w:rFonts w:ascii="Times New Roman"/>
          <w:b w:val="false"/>
          <w:i w:val="false"/>
          <w:color w:val="000000"/>
          <w:sz w:val="28"/>
        </w:rPr>
        <w:t>
      23. Если при расчете годовой эффективной ставки вознаграждения полученное число имеет более одного десятичного знака, оно подлежит округлению до сотых долей следующим образом:</w:t>
      </w:r>
    </w:p>
    <w:bookmarkEnd w:id="99"/>
    <w:bookmarkStart w:name="z106" w:id="100"/>
    <w:p>
      <w:pPr>
        <w:spacing w:after="0"/>
        <w:ind w:left="0"/>
        <w:jc w:val="both"/>
      </w:pPr>
      <w:r>
        <w:rPr>
          <w:rFonts w:ascii="Times New Roman"/>
          <w:b w:val="false"/>
          <w:i w:val="false"/>
          <w:color w:val="000000"/>
          <w:sz w:val="28"/>
        </w:rPr>
        <w:t>
      1) если тысячная доля больше или равна 5, сотая доля увеличивается на 1, все следующие за ней знаки исключаются;</w:t>
      </w:r>
    </w:p>
    <w:bookmarkEnd w:id="100"/>
    <w:bookmarkStart w:name="z107" w:id="101"/>
    <w:p>
      <w:pPr>
        <w:spacing w:after="0"/>
        <w:ind w:left="0"/>
        <w:jc w:val="both"/>
      </w:pPr>
      <w:r>
        <w:rPr>
          <w:rFonts w:ascii="Times New Roman"/>
          <w:b w:val="false"/>
          <w:i w:val="false"/>
          <w:color w:val="000000"/>
          <w:sz w:val="28"/>
        </w:rPr>
        <w:t>
      2) если тысячная доля меньше 5, сотая доля остается без изменений, все следующие за ней знаки исключаются.</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 апреля 2026 года № 44</w:t>
            </w:r>
          </w:p>
        </w:tc>
      </w:tr>
    </w:tbl>
    <w:bookmarkStart w:name="z109" w:id="102"/>
    <w:p>
      <w:pPr>
        <w:spacing w:after="0"/>
        <w:ind w:left="0"/>
        <w:jc w:val="left"/>
      </w:pPr>
      <w:r>
        <w:rPr>
          <w:rFonts w:ascii="Times New Roman"/>
          <w:b/>
          <w:i w:val="false"/>
          <w:color w:val="000000"/>
        </w:rPr>
        <w:t xml:space="preserve"> Перечень признаваемых утратившими силу некоторых постановлений Правления Национального Банка Республики Казахстан, а также структурных элементов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w:t>
      </w:r>
    </w:p>
    <w:bookmarkEnd w:id="102"/>
    <w:bookmarkStart w:name="z110"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 (зарегистрировано в Реестре государственной регистрации нормативных правовых актов под № 7663).</w:t>
      </w:r>
    </w:p>
    <w:bookmarkEnd w:id="103"/>
    <w:bookmarkStart w:name="z111"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135 "О внесении изменений и дополнений в некоторые нормативные правовые акты Республики Казахстан по вопросам регулирования банковской деятельности и микрофинансовых организаций (зарегистрировано в Реестре государственной регистрации нормативных правовых актов под № 13888).</w:t>
      </w:r>
    </w:p>
    <w:bookmarkEnd w:id="104"/>
    <w:bookmarkStart w:name="z112"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249 "О внесении изменений и дополнений в некоторые нормативные правовые акты Республики Казахстан по вопросам коллекторской деятельности" (зарегистрировано в Реестре государственной регистрации нормативных правовых актов под № 16267).</w:t>
      </w:r>
    </w:p>
    <w:bookmarkEnd w:id="105"/>
    <w:bookmarkStart w:name="z113"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23 декабря 2019 года № 249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19816).</w:t>
      </w:r>
    </w:p>
    <w:bookmarkEnd w:id="106"/>
    <w:bookmarkStart w:name="z114"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29 января 2021 года № 6 "О внесении изменений в некоторые нормативные правовые акты Республики Казахстан по вопросам защиты прав потребителей финансовых услуг" (зарегистрировано в Реестре государственной регистрации нормативных правовых актов под № 22155).</w:t>
      </w:r>
    </w:p>
    <w:bookmarkEnd w:id="107"/>
    <w:bookmarkStart w:name="z115"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21 февраля 2022 года № 7 "О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 (зарегистрировано в Реестре государственной регистрации нормативных правовых актов под № 26922).</w:t>
      </w:r>
    </w:p>
    <w:bookmarkEnd w:id="108"/>
    <w:bookmarkStart w:name="z116" w:id="1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февраля 2023 года № 8 "О внесении изменения в постановление Правления Национального Банка Республики Казахстан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 (зарегистрировано в Реестре государственной регистрации нормативных правовых актов под № 31998);</w:t>
      </w:r>
    </w:p>
    <w:bookmarkEnd w:id="109"/>
    <w:bookmarkStart w:name="z117" w:id="1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29 сентября 2025 года № 64 "О внесении изменений и дополнения в некоторые нормативные правовые акты Республики Казахстан по вопросам банковской и микрофинансовой деятельности" (зарегистрировано в Реестре государственной регистрации нормативных правовых актов под № 37026).</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