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2713" w14:textId="14c2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23 мая 2018 года №365 "Об утверждении Правил подачи и рассмотрения заявлений на выдачу лицензий на разведку твердых полезных ископаемых"</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16 марта 2026 года № 105. Зарегистрирован в Министерстве юстиции Республики Казахстан 17 марта 2026 года № 38168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мая 2018 года № 365 "Об утверждении Правил подачи и рассмотрения заявлений на выдачу лицензий на разведку твердых полезных ископаемых" (зарегистрирован в Реестре государственной регистрации нормативных правовых актов за № 17003)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подачи и рассмотрения заявлений на выдачу лицензий на разведку твердых полезных ископаемых,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разведку твердых полезных ископаемых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(далее - Кодекс)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определяет порядок подачи и рассмотрения заявлений на выдачу лицензий.";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в соответствии с требованиями Кодекса должна быть проведена или проводится ликвидация последствий разведки или добычи твердых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Услугополучатель для получения государственной услуги подает посредством Единой платформы недропользования (далее – ЕПН) заявление о выдаче лицензий на разведку твердых полезных ископаемых, с предусмотренными документами, указанными в пункте 8 Перечня основных требований к оказанию государственной услуги "Выдача лицензии на разведку твердых полезных ископаемых" (далее – Перечень) согласно приложению к настоящим Правилам.</w:t>
      </w:r>
    </w:p>
    <w:p>
      <w:pPr>
        <w:spacing w:after="0"/>
        <w:ind w:left="0"/>
        <w:jc w:val="both"/>
      </w:pPr>
      <w:r>
        <w:rPr>
          <w:rFonts w:ascii="Times New Roman"/>
          <w:b w:val="false"/>
          <w:i w:val="false"/>
          <w:color w:val="000000"/>
          <w:sz w:val="28"/>
        </w:rPr>
        <w:t xml:space="preserve">
      Датой начала приема услугодателем заявлений о выдаче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278 Кодекса является дата, предусмотренная в программе управления государственным фондом недр, утверждаемой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60 Кодекса, но не ранее чем через два месяца со дня утверждения программы управления государственным фондом недр или внесения в нее соответствующих изменений.</w:t>
      </w:r>
    </w:p>
    <w:p>
      <w:pPr>
        <w:spacing w:after="0"/>
        <w:ind w:left="0"/>
        <w:jc w:val="both"/>
      </w:pPr>
      <w:r>
        <w:rPr>
          <w:rFonts w:ascii="Times New Roman"/>
          <w:b w:val="false"/>
          <w:i w:val="false"/>
          <w:color w:val="000000"/>
          <w:sz w:val="28"/>
        </w:rPr>
        <w:t>
      Если указываемая в заявлении территория разведки включает в себя часть блока в случаях, предусмотренных пунктом 6 настоящих Правил, для целей определения условий лицензии при рассмотрении заявления указанный блок считается полным.</w:t>
      </w:r>
    </w:p>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p>
      <w:pPr>
        <w:spacing w:after="0"/>
        <w:ind w:left="0"/>
        <w:jc w:val="both"/>
      </w:pPr>
      <w:r>
        <w:rPr>
          <w:rFonts w:ascii="Times New Roman"/>
          <w:b w:val="false"/>
          <w:i w:val="false"/>
          <w:color w:val="000000"/>
          <w:sz w:val="28"/>
        </w:rPr>
        <w:t>
      Заявление и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услугодателю и подлежит учету.</w:t>
      </w:r>
    </w:p>
    <w:p>
      <w:pPr>
        <w:spacing w:after="0"/>
        <w:ind w:left="0"/>
        <w:jc w:val="both"/>
      </w:pPr>
      <w:r>
        <w:rPr>
          <w:rFonts w:ascii="Times New Roman"/>
          <w:b w:val="false"/>
          <w:i w:val="false"/>
          <w:color w:val="000000"/>
          <w:sz w:val="28"/>
        </w:rPr>
        <w:t>
      10. Заявления регистрируются в ЕПН с присвоением уникального учетного номера, даты и времени (часы, минуты) регистрации.</w:t>
      </w:r>
    </w:p>
    <w:p>
      <w:pPr>
        <w:spacing w:after="0"/>
        <w:ind w:left="0"/>
        <w:jc w:val="both"/>
      </w:pPr>
      <w:r>
        <w:rPr>
          <w:rFonts w:ascii="Times New Roman"/>
          <w:b w:val="false"/>
          <w:i w:val="false"/>
          <w:color w:val="000000"/>
          <w:sz w:val="28"/>
        </w:rPr>
        <w:t>
      Каждое заявление регистрируется отдельно.</w:t>
      </w:r>
    </w:p>
    <w:p>
      <w:pPr>
        <w:spacing w:after="0"/>
        <w:ind w:left="0"/>
        <w:jc w:val="both"/>
      </w:pPr>
      <w:r>
        <w:rPr>
          <w:rFonts w:ascii="Times New Roman"/>
          <w:b w:val="false"/>
          <w:i w:val="false"/>
          <w:color w:val="000000"/>
          <w:sz w:val="28"/>
        </w:rPr>
        <w:t>
      11. Сведения о поданном заявлении подлежат размещению в ЕПН в течение двух дней со дня подачи заявления и должны содержать:</w:t>
      </w:r>
    </w:p>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наименование услугополучателя;</w:t>
      </w:r>
    </w:p>
    <w:p>
      <w:pPr>
        <w:spacing w:after="0"/>
        <w:ind w:left="0"/>
        <w:jc w:val="both"/>
      </w:pPr>
      <w:r>
        <w:rPr>
          <w:rFonts w:ascii="Times New Roman"/>
          <w:b w:val="false"/>
          <w:i w:val="false"/>
          <w:color w:val="000000"/>
          <w:sz w:val="28"/>
        </w:rPr>
        <w:t>
      2) код блока (блоков), определяющего (определяющих) участок недр, который услугополучатель просит предоставить в пользование;</w:t>
      </w:r>
    </w:p>
    <w:p>
      <w:pPr>
        <w:spacing w:after="0"/>
        <w:ind w:left="0"/>
        <w:jc w:val="both"/>
      </w:pPr>
      <w:r>
        <w:rPr>
          <w:rFonts w:ascii="Times New Roman"/>
          <w:b w:val="false"/>
          <w:i w:val="false"/>
          <w:color w:val="000000"/>
          <w:sz w:val="28"/>
        </w:rPr>
        <w:t>
      3) дату и время поступления заявления.</w:t>
      </w:r>
    </w:p>
    <w:p>
      <w:pPr>
        <w:spacing w:after="0"/>
        <w:ind w:left="0"/>
        <w:jc w:val="both"/>
      </w:pPr>
      <w:r>
        <w:rPr>
          <w:rFonts w:ascii="Times New Roman"/>
          <w:b w:val="false"/>
          <w:i w:val="false"/>
          <w:color w:val="000000"/>
          <w:sz w:val="28"/>
        </w:rPr>
        <w:t xml:space="preserve">
      12. Услугодатель рассматривает заявление в течение 10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предусмотренными пунктом 9 приложения к настоящим Правилам, а также с учетом положений пунктов 16 и 17 настоящих Правил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Услугополучатель ознакамливается с уведомлениями услугодателя в личном кабинете ЕПН.</w:t>
      </w:r>
    </w:p>
    <w:p>
      <w:pPr>
        <w:spacing w:after="0"/>
        <w:ind w:left="0"/>
        <w:jc w:val="both"/>
      </w:pPr>
      <w:r>
        <w:rPr>
          <w:rFonts w:ascii="Times New Roman"/>
          <w:b w:val="false"/>
          <w:i w:val="false"/>
          <w:color w:val="000000"/>
          <w:sz w:val="28"/>
        </w:rPr>
        <w:t>
      13. Уведомление размещается в ЕПН в течение 5 (пяти) рабочих дней со дня его направления услугополучателю.</w:t>
      </w:r>
    </w:p>
    <w:p>
      <w:pPr>
        <w:spacing w:after="0"/>
        <w:ind w:left="0"/>
        <w:jc w:val="both"/>
      </w:pPr>
      <w:r>
        <w:rPr>
          <w:rFonts w:ascii="Times New Roman"/>
          <w:b w:val="false"/>
          <w:i w:val="false"/>
          <w:color w:val="000000"/>
          <w:sz w:val="28"/>
        </w:rPr>
        <w:t>
      14. Обеспечение исполнения обязательств по ликвидации последствий операций по разведке твердых полезных ископаемых предоставляется услугополучателем услугодателю посредством ЕПН не позднее 40 (сорока) рабочих дней со дня размещения уведомления.</w:t>
      </w:r>
    </w:p>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в ЕПН.</w:t>
      </w:r>
    </w:p>
    <w:p>
      <w:pPr>
        <w:spacing w:after="0"/>
        <w:ind w:left="0"/>
        <w:jc w:val="both"/>
      </w:pPr>
      <w:r>
        <w:rPr>
          <w:rFonts w:ascii="Times New Roman"/>
          <w:b w:val="false"/>
          <w:i w:val="false"/>
          <w:color w:val="000000"/>
          <w:sz w:val="28"/>
        </w:rPr>
        <w:t>
      15. Если к территории, указанной в заявлении, относится блок, предусмотренный пунктом 6 настоящих Правил, или блок, не имеющий общую сторону с другим блоком заявленной территории, такой блок не включается в лицензию, о чем услугодатель уведомляет услугополучателя посредством ЕПН. В течение 5 (пяти) рабочих дней со дня размещения услугодателем уведомления услугополучатель отказывается от всех или части подлежащих предоставлению ему блоков. Если по истечении указанного срока услугополучатель не отказался от всех блоков или отказался от части блоков, заявление рассматривается по существу с учетом положений настоящего пункта.</w:t>
      </w:r>
    </w:p>
    <w:p>
      <w:pPr>
        <w:spacing w:after="0"/>
        <w:ind w:left="0"/>
        <w:jc w:val="both"/>
      </w:pPr>
      <w:r>
        <w:rPr>
          <w:rFonts w:ascii="Times New Roman"/>
          <w:b w:val="false"/>
          <w:i w:val="false"/>
          <w:color w:val="000000"/>
          <w:sz w:val="28"/>
        </w:rPr>
        <w:t xml:space="preserve">
      В уведомлении, размещаемом услугодателем в соответствии с частью первой настоящего пункта, указывается о выявленных несоответствиях заявленной территории требованиям </w:t>
      </w:r>
      <w:r>
        <w:rPr>
          <w:rFonts w:ascii="Times New Roman"/>
          <w:b w:val="false"/>
          <w:i w:val="false"/>
          <w:color w:val="000000"/>
          <w:sz w:val="28"/>
        </w:rPr>
        <w:t>Кодекса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7 настоящих Правил, данный блок (блоки) также не включается (включаются) в лицензию по правилам части первой </w:t>
      </w:r>
      <w:r>
        <w:rPr>
          <w:rFonts w:ascii="Times New Roman"/>
          <w:b w:val="false"/>
          <w:i w:val="false"/>
          <w:color w:val="000000"/>
          <w:sz w:val="28"/>
        </w:rPr>
        <w:t>статьи 188</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Заявления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поступившие в течение месяца со дня начала их приема, рассматриваются без учета положений, предусмотренных пунктами 12, 13, 14, 15, 16, 17 настоящих Правил, и считаются имеющими одинаковую приоритетность.</w:t>
      </w:r>
    </w:p>
    <w:p>
      <w:pPr>
        <w:spacing w:after="0"/>
        <w:ind w:left="0"/>
        <w:jc w:val="both"/>
      </w:pPr>
      <w:r>
        <w:rPr>
          <w:rFonts w:ascii="Times New Roman"/>
          <w:b w:val="false"/>
          <w:i w:val="false"/>
          <w:color w:val="000000"/>
          <w:sz w:val="28"/>
        </w:rPr>
        <w:t xml:space="preserve">
      В случае отсутствия совпадающих блоков, услугодатель не позднее 20 (двадцати) рабочих дней после даты окончания приема заявлений, указанных в части первой настоящего пункта,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 в соответствии с пунктами 12, 13, 14 настоящих Правил.</w:t>
      </w:r>
    </w:p>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в ЕПН.</w:t>
      </w:r>
    </w:p>
    <w:p>
      <w:pPr>
        <w:spacing w:after="0"/>
        <w:ind w:left="0"/>
        <w:jc w:val="both"/>
      </w:pPr>
      <w:r>
        <w:rPr>
          <w:rFonts w:ascii="Times New Roman"/>
          <w:b w:val="false"/>
          <w:i w:val="false"/>
          <w:color w:val="000000"/>
          <w:sz w:val="28"/>
        </w:rPr>
        <w:t xml:space="preserve">
      Если в результате рассмотрения заявлений, поступивших в течение срока, предусмотренного частью второй настоящего пункта,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услугополучателей проводится аукцион в порядке и сроки, определяемые услугодателем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w:t>
      </w:r>
    </w:p>
    <w:p>
      <w:pPr>
        <w:spacing w:after="0"/>
        <w:ind w:left="0"/>
        <w:jc w:val="both"/>
      </w:pPr>
      <w:r>
        <w:rPr>
          <w:rFonts w:ascii="Times New Roman"/>
          <w:b w:val="false"/>
          <w:i w:val="false"/>
          <w:color w:val="000000"/>
          <w:sz w:val="28"/>
        </w:rPr>
        <w:t>
      21. Услугодатель не позднее 20 (двадцати) рабочих дней после даты окончания приема заявлений, указанных в пункте 20 настоящих Правил, определяет блоки, по которым подано более одного заявления, и направляет соответствующим услугополучателям уведомление о совпадающих блоках.</w:t>
      </w:r>
    </w:p>
    <w:p>
      <w:pPr>
        <w:spacing w:after="0"/>
        <w:ind w:left="0"/>
        <w:jc w:val="both"/>
      </w:pPr>
      <w:r>
        <w:rPr>
          <w:rFonts w:ascii="Times New Roman"/>
          <w:b w:val="false"/>
          <w:i w:val="false"/>
          <w:color w:val="000000"/>
          <w:sz w:val="28"/>
        </w:rPr>
        <w:t>
      Уведомление услугополучателю о совпадающих блоках и приглашение на участие в аукционе направляется в личный кабинет ЕПН услугополучателя. Указанное уведомление содержит ссылку на веб-портал "реестр государственного имущества" www.e-qazyna.kz (далее - веб-портал реестра), на котором будет опубликовано извещение о проведении аукциона, коды блоков услугополучателя, приоритет по которым подлежит определению по итогам аукциона, и ссылку на инструкцию для регистрации в качестве участника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"28. При выявлении оснований для отказа в оказании государственной услуги услугодатель уведомляет в личном кабинете ЕПН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p>
      <w:pPr>
        <w:spacing w:after="0"/>
        <w:ind w:left="0"/>
        <w:jc w:val="both"/>
      </w:pPr>
      <w:r>
        <w:rPr>
          <w:rFonts w:ascii="Times New Roman"/>
          <w:b w:val="false"/>
          <w:i w:val="false"/>
          <w:color w:val="000000"/>
          <w:sz w:val="28"/>
        </w:rPr>
        <w:t>
      Уведомление о заслушивании направляется в личный кабинет ЕПН услугополучателя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наличии оснований для отказа в выдаче лицензии на разведку твердых полезных ископаемых в отношении инвесторов, включенных в реестр инвесторов, услугодатель формирует мотивированный отказ и направляет его на согласование в Генеральную прокуратуру Республики Казахстан (далее – Генеральная прокуратура) посредством ЕПН.</w:t>
      </w:r>
    </w:p>
    <w:p>
      <w:pPr>
        <w:spacing w:after="0"/>
        <w:ind w:left="0"/>
        <w:jc w:val="both"/>
      </w:pPr>
      <w:r>
        <w:rPr>
          <w:rFonts w:ascii="Times New Roman"/>
          <w:b w:val="false"/>
          <w:i w:val="false"/>
          <w:color w:val="000000"/>
          <w:sz w:val="28"/>
        </w:rPr>
        <w:t>
      Генеральная прокуратура в течение 3 (трех) рабочих дней с момента поступления согласовывает либо отказывает в согласовании принятого решения.</w:t>
      </w:r>
    </w:p>
    <w:p>
      <w:pPr>
        <w:spacing w:after="0"/>
        <w:ind w:left="0"/>
        <w:jc w:val="both"/>
      </w:pPr>
      <w:r>
        <w:rPr>
          <w:rFonts w:ascii="Times New Roman"/>
          <w:b w:val="false"/>
          <w:i w:val="false"/>
          <w:color w:val="000000"/>
          <w:sz w:val="28"/>
        </w:rPr>
        <w:t>
      О принятом по итогам согласования с Генеральной прокуратурой решении услугодатель уведомляет услугополучателя, включенного в реестр инвесторов, в течение одного рабочего дня, с момента поступления ответа Генеральной прокуратуры.";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Результат оказания государственной услуги отображается в личном кабинете услугополучателя в ЕПН.";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Очередное заявление рассматривается только после отказа в выдаче лицензии по предыдущему рассмотренному заявлению.</w:t>
      </w:r>
    </w:p>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10 (десяти) рабочих дней со дня уведомления услугополучателя посредством ЕПН об отказе в выдаче лицензии по предыдущему заявлению.</w:t>
      </w:r>
    </w:p>
    <w:p>
      <w:pPr>
        <w:spacing w:after="0"/>
        <w:ind w:left="0"/>
        <w:jc w:val="both"/>
      </w:pPr>
      <w:r>
        <w:rPr>
          <w:rFonts w:ascii="Times New Roman"/>
          <w:b w:val="false"/>
          <w:i w:val="false"/>
          <w:color w:val="000000"/>
          <w:sz w:val="28"/>
        </w:rPr>
        <w:t>
      Если решение об отказе было обжаловано услугополучателем в суд, вопрос о рассмотрении очередного заявления решается услугодателем после вступления в силу решения суда по результатам рассмотрения жалобы.</w:t>
      </w:r>
    </w:p>
    <w:p>
      <w:pPr>
        <w:spacing w:after="0"/>
        <w:ind w:left="0"/>
        <w:jc w:val="both"/>
      </w:pPr>
      <w:r>
        <w:rPr>
          <w:rFonts w:ascii="Times New Roman"/>
          <w:b w:val="false"/>
          <w:i w:val="false"/>
          <w:color w:val="000000"/>
          <w:sz w:val="28"/>
        </w:rPr>
        <w:t xml:space="preserve">
      36.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37. Уполномоченный орган в области твердых полезных ископаемых в течение 3 (трех) рабочих дней с даты утверждения, изменения и (или) дополнения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2"/>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Start w:name="z1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промышленности и строительства Республики Казахстан.</w:t>
      </w:r>
    </w:p>
    <w:bookmarkEnd w:id="3"/>
    <w:bookmarkStart w:name="z15" w:id="4"/>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Генеральная прокуратура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Министерство искусственного интеллекта </w:t>
      </w:r>
    </w:p>
    <w:p>
      <w:pPr>
        <w:spacing w:after="0"/>
        <w:ind w:left="0"/>
        <w:jc w:val="both"/>
      </w:pPr>
      <w:r>
        <w:rPr>
          <w:rFonts w:ascii="Times New Roman"/>
          <w:b w:val="false"/>
          <w:i w:val="false"/>
          <w:color w:val="000000"/>
          <w:sz w:val="28"/>
        </w:rPr>
        <w:t>
      и цифрового развития 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Министерство </w:t>
      </w:r>
    </w:p>
    <w:p>
      <w:pPr>
        <w:spacing w:after="0"/>
        <w:ind w:left="0"/>
        <w:jc w:val="both"/>
      </w:pPr>
      <w:r>
        <w:rPr>
          <w:rFonts w:ascii="Times New Roman"/>
          <w:b w:val="false"/>
          <w:i w:val="false"/>
          <w:color w:val="000000"/>
          <w:sz w:val="28"/>
        </w:rPr>
        <w:t>
      национальной экономики</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подачи</w:t>
            </w:r>
            <w:r>
              <w:br/>
            </w:r>
            <w:r>
              <w:rPr>
                <w:rFonts w:ascii="Times New Roman"/>
                <w:b w:val="false"/>
                <w:i w:val="false"/>
                <w:color w:val="000000"/>
                <w:sz w:val="20"/>
              </w:rPr>
              <w:t>и рассмотрения заявлений</w:t>
            </w:r>
            <w:r>
              <w:br/>
            </w:r>
            <w:r>
              <w:rPr>
                <w:rFonts w:ascii="Times New Roman"/>
                <w:b w:val="false"/>
                <w:i w:val="false"/>
                <w:color w:val="000000"/>
                <w:sz w:val="20"/>
              </w:rPr>
              <w:t>на выдачу лицензий</w:t>
            </w:r>
            <w:r>
              <w:br/>
            </w:r>
            <w:r>
              <w:rPr>
                <w:rFonts w:ascii="Times New Roman"/>
                <w:b w:val="false"/>
                <w:i w:val="false"/>
                <w:color w:val="000000"/>
                <w:sz w:val="20"/>
              </w:rPr>
              <w:t>на разведку твердых полезных</w:t>
            </w:r>
            <w:r>
              <w:br/>
            </w:r>
            <w:r>
              <w:rPr>
                <w:rFonts w:ascii="Times New Roman"/>
                <w:b w:val="false"/>
                <w:i w:val="false"/>
                <w:color w:val="000000"/>
                <w:sz w:val="20"/>
              </w:rPr>
              <w:t>ископаемых</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разведку твердых полезных ископаемых"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недропользования (далее – ЕПН)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разведку твердых полезных ископаемых:</w:t>
            </w:r>
          </w:p>
          <w:p>
            <w:pPr>
              <w:spacing w:after="20"/>
              <w:ind w:left="20"/>
              <w:jc w:val="both"/>
            </w:pPr>
            <w:r>
              <w:rPr>
                <w:rFonts w:ascii="Times New Roman"/>
                <w:b w:val="false"/>
                <w:i w:val="false"/>
                <w:color w:val="000000"/>
                <w:sz w:val="20"/>
              </w:rPr>
              <w:t>
1) рассмотрение заявления на соответствие Правилам и размещение уведомления в личном кабинете ЕПН услугополучателя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 10 рабочих дней;</w:t>
            </w:r>
          </w:p>
          <w:p>
            <w:pPr>
              <w:spacing w:after="20"/>
              <w:ind w:left="20"/>
              <w:jc w:val="both"/>
            </w:pPr>
            <w:r>
              <w:rPr>
                <w:rFonts w:ascii="Times New Roman"/>
                <w:b w:val="false"/>
                <w:i w:val="false"/>
                <w:color w:val="000000"/>
                <w:sz w:val="20"/>
              </w:rPr>
              <w:t>
2) выдача лицензии либо мотивированный отказ – 45 рабочих дней.</w:t>
            </w:r>
          </w:p>
          <w:p>
            <w:pPr>
              <w:spacing w:after="20"/>
              <w:ind w:left="20"/>
              <w:jc w:val="both"/>
            </w:pPr>
            <w:r>
              <w:rPr>
                <w:rFonts w:ascii="Times New Roman"/>
                <w:b w:val="false"/>
                <w:i w:val="false"/>
                <w:color w:val="000000"/>
                <w:sz w:val="20"/>
              </w:rPr>
              <w:t>
Выдача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
1) рассмотрение заявления на соответствие Правилам и размещение уведомления в личном кабинете ЕПН услугополучателя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 20 рабочих дней;</w:t>
            </w:r>
          </w:p>
          <w:p>
            <w:pPr>
              <w:spacing w:after="20"/>
              <w:ind w:left="20"/>
              <w:jc w:val="both"/>
            </w:pPr>
            <w:r>
              <w:rPr>
                <w:rFonts w:ascii="Times New Roman"/>
                <w:b w:val="false"/>
                <w:i w:val="false"/>
                <w:color w:val="000000"/>
                <w:sz w:val="20"/>
              </w:rPr>
              <w:t>
2) выдача лицензии либо мотивированный отказ – 45 рабочих дней.</w:t>
            </w:r>
          </w:p>
          <w:p>
            <w:pPr>
              <w:spacing w:after="20"/>
              <w:ind w:left="20"/>
              <w:jc w:val="both"/>
            </w:pPr>
            <w:r>
              <w:rPr>
                <w:rFonts w:ascii="Times New Roman"/>
                <w:b w:val="false"/>
                <w:i w:val="false"/>
                <w:color w:val="000000"/>
                <w:sz w:val="20"/>
              </w:rPr>
              <w:t>
Выдача лицензий на разведку твердых полезных ископаемых посредством аукциона:</w:t>
            </w:r>
          </w:p>
          <w:p>
            <w:pPr>
              <w:spacing w:after="20"/>
              <w:ind w:left="20"/>
              <w:jc w:val="both"/>
            </w:pPr>
            <w:r>
              <w:rPr>
                <w:rFonts w:ascii="Times New Roman"/>
                <w:b w:val="false"/>
                <w:i w:val="false"/>
                <w:color w:val="000000"/>
                <w:sz w:val="20"/>
              </w:rPr>
              <w:t>
1) уведомление услугополучателю о совпадающих блоках и приглашение на участие в аукционе – 20 рабочих дней;</w:t>
            </w:r>
          </w:p>
          <w:p>
            <w:pPr>
              <w:spacing w:after="20"/>
              <w:ind w:left="20"/>
              <w:jc w:val="both"/>
            </w:pPr>
            <w:r>
              <w:rPr>
                <w:rFonts w:ascii="Times New Roman"/>
                <w:b w:val="false"/>
                <w:i w:val="false"/>
                <w:color w:val="000000"/>
                <w:sz w:val="20"/>
              </w:rPr>
              <w:t>
2) извещение о проведении аукциона – 10 рабочих дней;</w:t>
            </w:r>
          </w:p>
          <w:p>
            <w:pPr>
              <w:spacing w:after="20"/>
              <w:ind w:left="20"/>
              <w:jc w:val="both"/>
            </w:pPr>
            <w:r>
              <w:rPr>
                <w:rFonts w:ascii="Times New Roman"/>
                <w:b w:val="false"/>
                <w:i w:val="false"/>
                <w:color w:val="000000"/>
                <w:sz w:val="20"/>
              </w:rPr>
              <w:t>
3) проведение аукциона – 15 рабочих дней;</w:t>
            </w:r>
          </w:p>
          <w:p>
            <w:pPr>
              <w:spacing w:after="20"/>
              <w:ind w:left="20"/>
              <w:jc w:val="both"/>
            </w:pPr>
            <w:r>
              <w:rPr>
                <w:rFonts w:ascii="Times New Roman"/>
                <w:b w:val="false"/>
                <w:i w:val="false"/>
                <w:color w:val="000000"/>
                <w:sz w:val="20"/>
              </w:rPr>
              <w:t>
4) уплата подписного бонуса – 20 рабочих дней со дня подписания протокола об итогах аукциона (в случае неуплаты подписного бонуса победителем для каждого последующего 10 рабочих дней);</w:t>
            </w:r>
          </w:p>
          <w:p>
            <w:pPr>
              <w:spacing w:after="20"/>
              <w:ind w:left="20"/>
              <w:jc w:val="both"/>
            </w:pPr>
            <w:r>
              <w:rPr>
                <w:rFonts w:ascii="Times New Roman"/>
                <w:b w:val="false"/>
                <w:i w:val="false"/>
                <w:color w:val="000000"/>
                <w:sz w:val="20"/>
              </w:rPr>
              <w:t>
5) выдача лицензии либо мотивированный отказ в случае неуплаты суммы подписного бонуса –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услугодателя – с понедельника по пятницу, в соответствии с установленным графиком работы с 8.00 до 17.30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содержит следующие сведения:</w:t>
            </w:r>
          </w:p>
          <w:p>
            <w:pPr>
              <w:spacing w:after="20"/>
              <w:ind w:left="20"/>
              <w:jc w:val="both"/>
            </w:pPr>
            <w:r>
              <w:rPr>
                <w:rFonts w:ascii="Times New Roman"/>
                <w:b w:val="false"/>
                <w:i w:val="false"/>
                <w:color w:val="000000"/>
                <w:sz w:val="20"/>
              </w:rPr>
              <w:t>
1) электронная копия описания видов, методов, способов, примерных сроков по годам и объемов работ по разведке, которые услугополучатель намерен проводить на запрашиваемом участке недр;</w:t>
            </w:r>
          </w:p>
          <w:p>
            <w:pPr>
              <w:spacing w:after="20"/>
              <w:ind w:left="20"/>
              <w:jc w:val="both"/>
            </w:pPr>
            <w:r>
              <w:rPr>
                <w:rFonts w:ascii="Times New Roman"/>
                <w:b w:val="false"/>
                <w:i w:val="false"/>
                <w:color w:val="000000"/>
                <w:sz w:val="20"/>
              </w:rPr>
              <w:t>
2)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p>
            <w:pPr>
              <w:spacing w:after="20"/>
              <w:ind w:left="20"/>
              <w:jc w:val="both"/>
            </w:pPr>
            <w:r>
              <w:rPr>
                <w:rFonts w:ascii="Times New Roman"/>
                <w:b w:val="false"/>
                <w:i w:val="false"/>
                <w:color w:val="000000"/>
                <w:sz w:val="20"/>
              </w:rPr>
              <w:t>
3) документы, подтверждающие наличие у услугополучателя финансовых и профессиональных возможностей осуществлять операции по разведке твердых полезных ископаемых;</w:t>
            </w:r>
          </w:p>
          <w:p>
            <w:pPr>
              <w:spacing w:after="20"/>
              <w:ind w:left="20"/>
              <w:jc w:val="both"/>
            </w:pPr>
            <w:r>
              <w:rPr>
                <w:rFonts w:ascii="Times New Roman"/>
                <w:b w:val="false"/>
                <w:i w:val="false"/>
                <w:color w:val="000000"/>
                <w:sz w:val="20"/>
              </w:rPr>
              <w:t xml:space="preserve">
4) соглашение о социально-экономической поддержке местного населения, предусмотренного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25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
К заявлению о выдаче лицензии на разведку твердых полезных ископаемых, поданному в соответствии с абзацем вторым пункта 5 настоящих Правил, помимо документов, предусмотренных настоящим пунктом,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услугополучателя связана (связан) с недропользованием.</w:t>
            </w:r>
          </w:p>
          <w:p>
            <w:pPr>
              <w:spacing w:after="20"/>
              <w:ind w:left="20"/>
              <w:jc w:val="both"/>
            </w:pPr>
            <w:r>
              <w:rPr>
                <w:rFonts w:ascii="Times New Roman"/>
                <w:b w:val="false"/>
                <w:i w:val="false"/>
                <w:color w:val="000000"/>
                <w:sz w:val="20"/>
              </w:rPr>
              <w:t>
2. Для подтверждения наличия у услугополучателя финансовых возможностей, достаточных для проведения операций по разведке, представляется один из следующих документов:</w:t>
            </w:r>
          </w:p>
          <w:p>
            <w:pPr>
              <w:spacing w:after="20"/>
              <w:ind w:left="20"/>
              <w:jc w:val="both"/>
            </w:pPr>
            <w:r>
              <w:rPr>
                <w:rFonts w:ascii="Times New Roman"/>
                <w:b w:val="false"/>
                <w:i w:val="false"/>
                <w:color w:val="000000"/>
                <w:sz w:val="20"/>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услугополучателя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
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услугополучателя финансовых возможностей. При наличии у услугополучателя нескольких счетов в банке второго уровня для целей подтверждения финансовых возможностей могут в совокупности учитываться также сведения об остатке и движении денежных средства по нескольким счетам, по которым представлены выписки;</w:t>
            </w:r>
          </w:p>
          <w:p>
            <w:pPr>
              <w:spacing w:after="20"/>
              <w:ind w:left="20"/>
              <w:jc w:val="both"/>
            </w:pPr>
            <w:r>
              <w:rPr>
                <w:rFonts w:ascii="Times New Roman"/>
                <w:b w:val="false"/>
                <w:i w:val="false"/>
                <w:color w:val="000000"/>
                <w:sz w:val="20"/>
              </w:rPr>
              <w:t>
2) электронная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услугополучателя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
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услугополучателя превышает его обязательства на величину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
4) письмо рейтингового агентства, признаваемого фондовой биржей, осуществляющей деятельность в Республике Казахстан, о присвоении услугополучателю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
Если в качестве документа, подтверждающего наличие у услугополучателя финансовых возможностей, представлена электронная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w:t>
            </w:r>
          </w:p>
          <w:p>
            <w:pPr>
              <w:spacing w:after="20"/>
              <w:ind w:left="20"/>
              <w:jc w:val="both"/>
            </w:pPr>
            <w:r>
              <w:rPr>
                <w:rFonts w:ascii="Times New Roman"/>
                <w:b w:val="false"/>
                <w:i w:val="false"/>
                <w:color w:val="000000"/>
                <w:sz w:val="20"/>
              </w:rPr>
              <w:t>
3. Для подтверждения наличия у услугополучателя профессиональных возможностей, достаточных для проведения операций по разведке, представляются любые из следующих документов:</w:t>
            </w:r>
          </w:p>
          <w:p>
            <w:pPr>
              <w:spacing w:after="20"/>
              <w:ind w:left="20"/>
              <w:jc w:val="both"/>
            </w:pPr>
            <w:r>
              <w:rPr>
                <w:rFonts w:ascii="Times New Roman"/>
                <w:b w:val="false"/>
                <w:i w:val="false"/>
                <w:color w:val="000000"/>
                <w:sz w:val="20"/>
              </w:rPr>
              <w:t>
1) справка о наличии в штате специалиста или электронная копия договора оказания услуг со специалистом в области геологии или геофизики;</w:t>
            </w:r>
          </w:p>
          <w:p>
            <w:pPr>
              <w:spacing w:after="20"/>
              <w:ind w:left="20"/>
              <w:jc w:val="both"/>
            </w:pPr>
            <w:r>
              <w:rPr>
                <w:rFonts w:ascii="Times New Roman"/>
                <w:b w:val="false"/>
                <w:i w:val="false"/>
                <w:color w:val="000000"/>
                <w:sz w:val="20"/>
              </w:rPr>
              <w:t xml:space="preserve">
2) электронная копия договора оказания услуг с подрядной организацией или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услугополучателю запрашиваемой лицензии на разведку, в штате которого имеется один из специалистов, перечисленных в подпункте 1) настоящего пункта.</w:t>
            </w:r>
          </w:p>
          <w:p>
            <w:pPr>
              <w:spacing w:after="20"/>
              <w:ind w:left="20"/>
              <w:jc w:val="both"/>
            </w:pPr>
            <w:r>
              <w:rPr>
                <w:rFonts w:ascii="Times New Roman"/>
                <w:b w:val="false"/>
                <w:i w:val="false"/>
                <w:color w:val="000000"/>
                <w:sz w:val="20"/>
              </w:rPr>
              <w:t xml:space="preserve">
Если в качестве документа, подтверждающего наличие у услугополучателя профессиональных возможностей, представлены электронные копии договора оказания услуг с подрядной организацией или договора оказания услуг оператора, назначаемого услугополчателем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электронная копия договора оказания услуг с соответствующим специалистом.</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содержащихся в государственных цифровых системах, справка налогового органа об отсутствии у услугополучателя налоговой задолженности услугодатель получает из соответствующих цифровых систем через шлюз "цифрового правительства", официальный интернет ресурс Комитета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при наличии одного из следующих оснований:</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заявление или прилагаемые к нему документы не соответствуют требованиям, предусмотренным Кодексом;</w:t>
            </w:r>
          </w:p>
          <w:p>
            <w:pPr>
              <w:spacing w:after="20"/>
              <w:ind w:left="20"/>
              <w:jc w:val="both"/>
            </w:pPr>
            <w:r>
              <w:rPr>
                <w:rFonts w:ascii="Times New Roman"/>
                <w:b w:val="false"/>
                <w:i w:val="false"/>
                <w:color w:val="000000"/>
                <w:sz w:val="20"/>
              </w:rPr>
              <w:t>
7) к заявлению не приложены документы, требуемые Кодексом;</w:t>
            </w:r>
          </w:p>
          <w:p>
            <w:pPr>
              <w:spacing w:after="20"/>
              <w:ind w:left="20"/>
              <w:jc w:val="both"/>
            </w:pPr>
            <w:r>
              <w:rPr>
                <w:rFonts w:ascii="Times New Roman"/>
                <w:b w:val="false"/>
                <w:i w:val="false"/>
                <w:color w:val="000000"/>
                <w:sz w:val="20"/>
              </w:rPr>
              <w:t>
8) в течение одного года до подачи заявления у услугополучателя или лица, прямо или косвенно контролирующего услугополучателя или находящегося под его контролем, была отозвана лицензия на разведку или лицензия на добычу твердых полезных ископаемых, включающая полностью или частично запрашиваемый участок недр; 9) выдача лицензии повлечет угрозу национальной безопасности страны или концентрацию прав недропользования;</w:t>
            </w:r>
          </w:p>
          <w:p>
            <w:pPr>
              <w:spacing w:after="20"/>
              <w:ind w:left="20"/>
              <w:jc w:val="both"/>
            </w:pPr>
            <w:r>
              <w:rPr>
                <w:rFonts w:ascii="Times New Roman"/>
                <w:b w:val="false"/>
                <w:i w:val="false"/>
                <w:color w:val="000000"/>
                <w:sz w:val="20"/>
              </w:rPr>
              <w:t>
10) в течение одного календарного года до подачи заявления услугополучатель или лицо, прямо или косвенно контролирующее услугополучателя или находящееся под его контролем, отказались от запрашиваемого участка недр или его части;</w:t>
            </w:r>
          </w:p>
          <w:p>
            <w:pPr>
              <w:spacing w:after="20"/>
              <w:ind w:left="20"/>
              <w:jc w:val="both"/>
            </w:pPr>
            <w:r>
              <w:rPr>
                <w:rFonts w:ascii="Times New Roman"/>
                <w:b w:val="false"/>
                <w:i w:val="false"/>
                <w:color w:val="000000"/>
                <w:sz w:val="20"/>
              </w:rPr>
              <w:t>
11) запрашиваемая территория полностью относится к территории и (или) блокам, указанным в пункте 6 настоящих Правил;</w:t>
            </w:r>
          </w:p>
          <w:p>
            <w:pPr>
              <w:spacing w:after="20"/>
              <w:ind w:left="20"/>
              <w:jc w:val="both"/>
            </w:pPr>
            <w:r>
              <w:rPr>
                <w:rFonts w:ascii="Times New Roman"/>
                <w:b w:val="false"/>
                <w:i w:val="false"/>
                <w:color w:val="000000"/>
                <w:sz w:val="20"/>
              </w:rPr>
              <w:t>
12) территория запрашиваемого участка недр превышает ограничение по размеру или не соответствует требованиям, установленным настоящими Правилами;</w:t>
            </w:r>
          </w:p>
          <w:p>
            <w:pPr>
              <w:spacing w:after="20"/>
              <w:ind w:left="20"/>
              <w:jc w:val="both"/>
            </w:pPr>
            <w:r>
              <w:rPr>
                <w:rFonts w:ascii="Times New Roman"/>
                <w:b w:val="false"/>
                <w:i w:val="false"/>
                <w:color w:val="000000"/>
                <w:sz w:val="20"/>
              </w:rPr>
              <w:t>
13)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p>
            <w:pPr>
              <w:spacing w:after="20"/>
              <w:ind w:left="20"/>
              <w:jc w:val="both"/>
            </w:pPr>
            <w:r>
              <w:rPr>
                <w:rFonts w:ascii="Times New Roman"/>
                <w:b w:val="false"/>
                <w:i w:val="false"/>
                <w:color w:val="000000"/>
                <w:sz w:val="20"/>
              </w:rPr>
              <w:t>
14) в течение пяти лет, предшествующих дате подачи заявления, услугополучатель, лицо либо организация, прямо или косвенно контролирующие заявителя или находящиеся по его контролем, не исполнили обязательства по уплате подписного бонуса по итогам аукциона, проведенного в соответствии с Кодексом;</w:t>
            </w:r>
          </w:p>
          <w:p>
            <w:pPr>
              <w:spacing w:after="20"/>
              <w:ind w:left="20"/>
              <w:jc w:val="both"/>
            </w:pPr>
            <w:r>
              <w:rPr>
                <w:rFonts w:ascii="Times New Roman"/>
                <w:b w:val="false"/>
                <w:i w:val="false"/>
                <w:color w:val="000000"/>
                <w:sz w:val="20"/>
              </w:rPr>
              <w:t>
15) несоблюдение услугополучателем срока представления услугодателю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0"/>
              </w:rPr>
              <w:t>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278 Кодекса.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 xml:space="preserve">
1) заявления, поступившие в течение месяца со дня начала их приема, рассматриваются без учета положений, предусмотренных пунктами 1, 2 и 3 </w:t>
            </w:r>
            <w:r>
              <w:rPr>
                <w:rFonts w:ascii="Times New Roman"/>
                <w:b w:val="false"/>
                <w:i w:val="false"/>
                <w:color w:val="000000"/>
                <w:sz w:val="20"/>
              </w:rPr>
              <w:t>статьи 188</w:t>
            </w:r>
            <w:r>
              <w:rPr>
                <w:rFonts w:ascii="Times New Roman"/>
                <w:b w:val="false"/>
                <w:i w:val="false"/>
                <w:color w:val="000000"/>
                <w:sz w:val="20"/>
              </w:rPr>
              <w:t xml:space="preserve"> Кодекса, и считаются имеющими одинаковую приоритетность;</w:t>
            </w:r>
          </w:p>
          <w:p>
            <w:pPr>
              <w:spacing w:after="20"/>
              <w:ind w:left="20"/>
              <w:jc w:val="both"/>
            </w:pPr>
            <w:r>
              <w:rPr>
                <w:rFonts w:ascii="Times New Roman"/>
                <w:b w:val="false"/>
                <w:i w:val="false"/>
                <w:color w:val="000000"/>
                <w:sz w:val="20"/>
              </w:rPr>
              <w:t>
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услугополучателей проводится аукцион в порядке и сроки, которые определяются компетентным органом. Отказ от участия в аукционе или неявка на аукцион услугополучателя является основанием для отклонения его заявки по соответствующему блоку;</w:t>
            </w:r>
          </w:p>
          <w:p>
            <w:pPr>
              <w:spacing w:after="20"/>
              <w:ind w:left="20"/>
              <w:jc w:val="both"/>
            </w:pPr>
            <w:r>
              <w:rPr>
                <w:rFonts w:ascii="Times New Roman"/>
                <w:b w:val="false"/>
                <w:i w:val="false"/>
                <w:color w:val="000000"/>
                <w:sz w:val="20"/>
              </w:rPr>
              <w:t xml:space="preserve">
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0"/>
              </w:rPr>
              <w:t>статье 188</w:t>
            </w:r>
            <w:r>
              <w:rPr>
                <w:rFonts w:ascii="Times New Roman"/>
                <w:b w:val="false"/>
                <w:i w:val="false"/>
                <w:color w:val="000000"/>
                <w:sz w:val="20"/>
              </w:rPr>
              <w:t xml:space="preserve"> и положениям о приоритетности </w:t>
            </w:r>
            <w:r>
              <w:rPr>
                <w:rFonts w:ascii="Times New Roman"/>
                <w:b w:val="false"/>
                <w:i w:val="false"/>
                <w:color w:val="000000"/>
                <w:sz w:val="20"/>
              </w:rPr>
              <w:t>статьи 189</w:t>
            </w:r>
            <w:r>
              <w:rPr>
                <w:rFonts w:ascii="Times New Roman"/>
                <w:b w:val="false"/>
                <w:i w:val="false"/>
                <w:color w:val="000000"/>
                <w:sz w:val="20"/>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0"/>
              </w:rPr>
              <w:t>главой 27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единый контакт-центр при Министерстве промышленности и строительства Республики Казахстан: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