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908" w14:textId="ce40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Генеральной схемы организации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марта 2026 года № 101. Зарегистрирован в Министерстве юстиции Республики Казахстан 17 марта 2026 года № 38160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Генеральной схемы организации территории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Генеральной схемы организации территории Республики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Генеральной схемы организации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 и устанавливают порядок разработки, согласования и утверждения Генеральной схемы организации территории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территорий – деление территорий при градостроительном планировании на функциональные зоны с установлением видов градостроительного использования отдельных зон и возможных ограничений по их использованию;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особого регулирования и градостроительной регламентации – объекты архитектурной, градостроительной и строительной деятельности, реализация которых затруднена без установления исключений либо внесения дополнений к общепринятым правилам (порядку) использования территорий, территории населенного пункта, отдельного строительного объекта;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Генеральная схема организации территории Республики Казахстан (далее – Генеральная схема) – градостроительный проект, общегосударственного значения содержащий видение долгосрочного пространственного развития и систему рациональной организации территории Республики Казахстан для реализации территориальных конкурентных преимуществ и достижения устойчивого развития страны;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архитектуры, градостроительства и строительства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Генеральная схема разрабатывается с учетом объема и содержания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государственной регистрации нормативных правовых актов за № 9922), а также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выводов генерального плана интегрированного управления водными ресурсами и бассейновых планов охраны и использования водных ресурсов.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Генеральной схемы: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регулирования системы расселения и размещения производительных сил;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статуса, назначения и характера использования территорий с учетом административно-территориального устройства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межрегиональных и межотраслевых государственных интересов по программам социально-экономического и хозяйственного развития через осуществление архитектурной, градостроительной и строительной деятельности.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согласования и утверждения Генеральной схемы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Генеральной схемы обеспечивается уполномоченным органом. Генеральная схема разрабатывается на основе документов Системы государственного планирования Республики Казахстан, законодательства Республики Казахстан об архитектурной, градостроительной и строительной деятельности, а также с учетом внутренних и внешних факторов, влияющих на перспективную организацию территории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Генеральной схемы осуществляется в случаях, предусмотренных законодательством Республики Казахстан об архитектурной, градостроительной и строительной деятельности, внесения изменений и дополнений в документы Системы государственного планирования Республики Казахстан в соответствии с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Генеральной схемы в рамках государственного задания осуществляется республиканским государственным предприятием на праве хозяйственного ведения в сфере государственного градостроительного планирования и кадастра, созданным по постановлению Правительства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составляет и утверждает задание на проектирование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определяет структуру Генеральной схемы, порядок получения исходных данных и согласования Генеральной схемы.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Общие требования к заданию на проектирование, а также срок разработки, состав и содержание Генеральной схемы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государственными нормативными документами в сфере архитектурной, градостроительной и строительной деятельности.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Генеральная схема разрабатывается согласно государственным нормативным документам.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Генеральная схема разрабатывается на период не менее двадцати лет и подлежит мониторингу не реже одного раза в пять лет уполномоченным органом.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для осуществления мониторинга и формирования результата мониторинга запрашивает информацию от центральных государственных органов по реализации документов Системы государственного планирования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формируется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размещается на интернет-ресурсе уполномоченного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подлежат основные положения Генеральной схемы.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Генеральная схема включает: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расселения и размещения производительных сил;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социальной, рекреационной, инженерной и транспортной инфраструктур;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территорий и объектов особого регулирования республиканского и межрегионального значения;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классификацию территорий по видам экономической специализации и преимущественного использования;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зонирование с определением приоритетов и ограничений на ее использование при осуществлении градостроительной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мер по улучшению экологической обстановки в регионах, сохранению территорий с объектами историко-культурного наследия и (или) охраняемыми ландшафтными объектами, а также по защите территорий от опасных (вредных) воздействий природных и антропогенных, техногенных явлений и процессов.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Генеральной схемы осуществляется в два этапа: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этап, который включает сбор исходных данных, анализ и оценку территории Республики Казахстан, выявление внутренних и внешних факторов, влияющих на организацию и эффективное использование территории;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проектирования, который включает: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проектного предложения по организации территории Республики Казахстан на периоды проектирования,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расселения и размещения производительных сил, развития социальной, рекреационной, инженерной и транспортной инфраструктур, развития территорий и объектов особого регулирования республиканского и межрегионального значения, зонирования с определением приоритетов и ограничений на ее использование при осуществлении градостроительной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территорий по видам экономической специализации и преимущественного использования;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комплекса мер по улучшению экологической обстановки в регионах, сохранению территорий с объектами историко-культурного наследия и (или) охраняемыми ландшафтными объектами, а также по защите территорий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опасных (вредных) воздействий природных и антропогенных, техногенных явлений и процессов.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Комплексная градостроительная экспертиза проекта Генеральной схемы осуществляется согласно Правилам проведения комплексной градостроительной экспертизы градостроительных проектов, утвержденным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комплексной градостроительной экспертизы проект Генеральной схемы направляется уполномоченным органом на согласование в заинтересованные государственные органы. Срок рассмотрения и согласования проекта Генеральной схемы составляет десять рабочих дней со дня поступления проекта Генеральной схемы.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Заинтересованные государственные органы согласовывают и/или предоставляют обоснованные замечания уполномоченному органу.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замечаний заинтересованными государственными органами доработанный проект Генеральной схемы вносится уполномоченным органом на повторное согласование в заинтересованные государственные органы. Срок повторного согласования составляет пять рабочих дней со дня поступления проекта Генеральной схемы.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Основные положения Генеральной схемы утверждаются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Предоставление утвержденных Генеральных схем в цифровом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 Республики Казахстан, утвержденными уполномоченным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69" w:id="60"/>
      <w:r>
        <w:rPr>
          <w:rFonts w:ascii="Times New Roman"/>
          <w:b w:val="false"/>
          <w:i w:val="false"/>
          <w:color w:val="000000"/>
          <w:sz w:val="28"/>
        </w:rPr>
        <w:t>
      7. Иные требования и условия: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наличии)),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(дата)</w:t>
      </w:r>
    </w:p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задания уточняется в соответствии с требованиями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реализации Генеральной схемы организации территории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