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1fa9" w14:textId="8861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марта 2026 года № 17. Зарегистрировано в Министерстве юстиции Республики Казахстан 16 марта 2026 года № 38153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эффективности доверительного управления Национальным фондом Республики Казахстан,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 и устанавливают порядок осуществления Национальным Банком Республики Казахстан (далее – Национальный Банк) инвестиционных операций при доверительном управлении Национальным фондом Республики Казахстан (далее – Фонд).";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Финансовые инструменты, в которые инвестируются активы Фонда, утверждаются Перечнем разрешенных финансовых инструментов и сделок с ними, за исключением нематериальных активов, определяемым Правительством Республики Казахстан совместно с Национальным Банком по предложению Совета по управлению Национальным фондом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"35-2. Инвестирование остатков денег осуществляется в фонды денежного рынка с рейтингом АААm (Standard&amp;Poor's)/Ааа-mf (Moody's) или аналогичным рейтингом других международных рейтинговых агентств либо в фонды денежного рынка, выполняющие все требования, предъявляемые к фондам с рейтингом АААm (Standard&amp;Poor's)/Ааа-mf (Moody's) или аналогичным рейтингом других международных рейтинговых агентств.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объем активов, инвестированных в фонды денежного рынка, не превышает 10 (десяти) процентов от рыночной стоимости активов соответствующего портфеля под управлением Национального Банка или внешних управляющих. Инвестирование в фонды денежного рынка осуществляется при соблюдении следующих условий: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активов фонда денежного рынка не менее 3 000 000 000 (трех миллиардов) долларов США;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фонда денежного рынка не менее 5 (пяти) лет;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минимальные долгосрочный и краткосрочный кредитные рейтинги финансовых инструментов, разрешенных для инвестирования в фонды денежного рынка, не ниже A- и A-1 (Standard&amp;Poor's)/A3 и P-1 (Moody’s) соответственно, или аналогичного кредитного рейтинга других международных рейтинговых агентств;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90 (девяноста) процентов активов фонда денежного рынка инвестируются 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инструменты денежного рынка США, выпущенные Правительством США, номинированные в долларах США, а также операции репо с ними;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денежного рынка, выпущенные или гарантированные правительствами стран, входящих в состав Еврозоны, с долгосрочным кредитным рейтингом не ниже A- (Standard &amp; Poor’s)/A3 (Moody’s) или аналогичного кредитного рейтинга других международных рейтинговых агентств, номинированные в евро, а также операции репо с ними.";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Сберегательный портфель делится на портфель облигаций, портфель акций, портфель альтернативных инструментов и портфель золота.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Портфель облигаций состоит из портфеля государственных облигаций развитых стран, портфеля государственных облигаций развивающихся стран и портфеля корпоративных облигаций.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Портфель альтернативных инструментов состоит из портфеля глобальных альтернативных инструментов, портфеля открытого инвестиционного партнерства и портфеля зарубежных цифровых активов.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Портфель глобальных альтернативных инструментов включает широкий спектр альтернативных инвестиций и формируется без привязки к отдельным регионам, секторам или инвестиционным тематикам.";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Целевым уровнем доходности портфеля глобальных альтернативных инструментов является доходность композитного индекса (референс портфеля), состоящего на 80 (восемьдесят) процентов из индекса MSCI АCWI IMI Net Total Return USD Index и на 20 (двадцать) процентов из индекса Bloomberg Global-Aggregate Total Return Index Value Hedged USD, измеряемых в долларах США.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композитном индексе (референс портфеле), предусмотренном частью первой настоящего пункта осуществляется в последний рабочий день календарного квартала.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минимальным уровнем долгосрочной доходности для портфеля глобальных альтернативных инструментов, а также портфеля открытого инвестиционного партнерства является значение US Consumer Price Index (CPI YOY) + 3 (три) процента, который рассчитывается методом скользящей оценки (rolling window) за периоды сроками в 5 (пять), 10 (десять) и 15 (пятнадцать) лет.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управления портфелями зарубежных цифровых активов и открытого инвестиционного партнерства не проводится относительно референс портфеля.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управления портфелем зарубежных цифровых активов осуществляется на ежегодной основе. Результаты управления портфелем зарубежных цифровых активов оцениваются относительно показателей доходности и риска эталонного портфеля, утверждаемого Советом директоров акционерного общества "Национальная инвестиционная корпорация Национального Банка Казахстана" (далее – Корпорация).";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"56-3. Внешнее управление портфелем альтернативных инструментов осуществляет Корпорация.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и управления инвестиционными проектами в рамках программы открытого инвестиционного партнерства Корпорацией привлекаются международные управляющие активами, имеющие под управлением не менее 2 (двух) миллиардов долларов США и опыт инвестирования не менее 10 (десяти) лет.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56-4. Инвестиции в портфеле глобальных альтернативных инструментов осуществляются с учетом ограничений, установленных настоящими Правилами. Секторное распределение портфеля глобальных альтернативных инструментов по классам активов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секторного распределения, установленного в соответствии с приложением 10 к настоящим Правилам, вследствие пополнения портфеля глобальных альтернативных инструментов на сумму в размере менее 100 (ста) процентов от объема глобальных альтернативных инструментов за последний отчетный период и (или) в результате изменения стоимости активов портфеля глобальных альтернативных инструментов, и (или) изъятия активов из портфеля глобальных альтернативных инструментов, портфель глобальных альтернативных инструментов приводится в соответствие с установленным распределением в течение 1 (одного) года с момента нарушения.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секторного распределения, установленного в соответствии с приложением 10 к настоящим Правилам, вследствие пополнения портфеля глобальных альтернативных инструментов на сумму в размере более 100 (ста) процентов от объема глобальных альтернативных инструментов за последний отчетный период, портфель глобальных альтернативных инструментов приводится в соответствие с установленным распределением в течение транзитного периода, действующего в течение 3 (трех) лет с момента нарушения.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транзитного периода портфель глобальных альтернативных инструментов оценивается относительно параметров референс портфеля согласно приложению 11 к настоящим Правилам.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портфеля альтернативных инструментов не превышает 10 (десяти) процентов от объема активов сберегательного портфеля на момент перевода активов Фонда в портфель альтернативных инструментов.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объем пополнения портфеля открытого инвестиционного партнерства не превышает 1 (одного) миллиарда долларов США.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портфеля зарубежных цифровых активов в портфеле альтернативных инструментов не превышает 30 (тридцати) процентов от портфеля альтернативных инструментов.";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"56-6. Допускается инвестирование активов портфеля альтернативных инструментов в иные финансовые инструменты, предусмотренные Перечнем разрешенных финансовых инструментов и сделок с ними, за исключением нематериальных активов, для размещения Национального фонда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2025 года № 353 "Об утверждении перечня разрешенных финансовых инструментов и сделок с ними, за исключением нематериальных активов, для размещения Национального фонда Республики Казахстан".";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Целевое стратегическое распределение активов сберегательного портфеля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портфеля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формирования портфеля альтернативных инструментов (в процентах)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формирования портфеля альтернативных инструментов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облигации развитых стран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облигации развивающихся стран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облигации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строкам 2 и 3 графы 4 применяется фактически сложившаяся доля альтернативных инструментов на момент перевода или пополнения портфеля альтернативных инструментов при условии, что совместная доля альтернативных инструментов и акций не превышает 45 (сорока пяти) процентов.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Секторное распределение портфеля глобальных альтернативных инструментов по классам активов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(в процентах) в период 5 лет после первичного пополнения портфеля глобальных альтернативных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(в процентах) по истечении 5 лет после первичного пополнения портфеля глобальных альтернативных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Хедж-фонды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строкам 6 и 7 совокупный объем облигаций и акций не превышает 40 (сорока) процентов в период формирования портфеля глобальных альтернативных инструментов, составляющий не более 5 (пяти) лет после первичного пополнения портфеля глобальных альтернативных инструментов. По истечении периода формирования портфеля глобальных альтернативных инструментов, совокупный объем облигаций и акций не превышает 15 (пятнадцати) процентов.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референс портфеля для портфеля глобальных альтернативных инструментов на транзитный период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референс портфеля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 транзитного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портфель, состоящий на 35 (тридцать пять) процентов из индекса MSCI АCWI IMI Net Total Return USD Index и на 65 (шестьдесят пять) процентов из индекса Bloomberg Global-Aggregate Total Return Index Value Hedged USD, измеряемых в долларах США.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 транзитного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портфель, состоящий на 50 (пятьдесят) процентов из индекса MSCI АCWI IMI Net Total Return USD Index и на 50 (пятьдесят) процентов из индекса Bloomberg Global-Aggregate Total Return Index Value Hedged USD, измеряемых в долларах США.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 транзитного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портфель, состоящий на 65 (шестьдесят пять) процентов из индекса MSCI АCWI IMI Net Total Return USD Index и на 35 (тридцать пять) процентов из индекса Bloomberg Global-Aggregate Total Return Index Value Hedged USD, измеряемых в долларах США.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