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8713" w14:textId="21a8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марта 2026 года № 82. Зарегистрирован в Министерстве юстиции Республики Казахстан 11 марта 2026 года № 38125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82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337 "Об утверждении методики определения норматива достаточности капитала" (зарегистрирован в Реестре государственной регистрации нормативных правовых актов за № 14191) следующее изменение: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норматива достаточности капитала, утвержденной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Норматив достаточности капитала (далее – НДК) рассчитывается по следующей формуле: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6581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собственный капитал – размер капитала Единого оператора, согласно отчету о финансовом положении (бухгалтерского баланса);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обязательства, взвешенные по степени риска - обязательства Единого оператора по выданным гарантиям, равные проектной стоимости многоквартирного жилого дома или комплекса индивидуальных жилых домов и (или) проектов реновации ветхого и аварийного жилья с применением механизмов долевого участия определенной в Законе, за минусом резерва на урегулирование гарантийных случаев, сформированного в соответствии с утверждаемой уполномоченным органом в сфере долевого участия в жилищном строительстве Методикой расчета и формирования резерва на урегулирование гарантийных случаев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338 "Об утверждении методики определения размера гарантийного взноса" (зарегистрирован в Реестре государственной регистрации нормативных правовых актов за № 14190) следующие изменения и дополнения: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гарантийного взноса, утвержденной указанным приказом: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При отсутствии проектно-сметной документации на момент заключения договора о предоставлении гарантии в рамках реновации, проектная стоимость (ПС) для целей применения формулы, установленной пунктом 3 настоящей Методики, определяется как индикативная стоимость проекта, рассчитанная на основе финансово-экономических данных застройщика и/или уполномоченной компании в соответствии с финансово-экономической моделью проекта.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проектно-сметной документации расчет гарантийного взноса подлежит корректировке исходя из утвержденной проектной стоимости согласно проектно-сметной документации с положительным заключением вневедомственной комплексной экспертизы.";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определения размера гарантийного взноса используется многофакторная модель, основанная на оценке показателей и факторов риска, согласно Правилам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 договоров в рамках реновации,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(зарегистрирован в Реестре государственной регистрации нормативных правовых актов за № 14312).".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340 "Об утверждении типовой формы договора залога голосующих акций (долей участия в уставном капитале) уполномоченной компании" (зарегистрирован в Реестре государственной регистрации нормативных правовых актов за № 14192) следующие изменения: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голосующих акций (долей участия в уставном капитале) уполномоченной компании, утвержденной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"город ________ "___" ______ 20_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"Залогодержатель",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действующего(-ей) на основании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___________________, именуемое в дальнейшем "Залогодатель",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______________________________, действующего(-ей)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дальнейшем совместно именуемые "Стороны",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строительстве", принимая во внимание, что Залогодатель, является единственным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участником Уполномоченной компании, обеспечивающей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многоквартирного жилого дома или комплекса индивидуальных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(далее - Проект), находящегося по адресу ____________ и реализацию долей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Проекте дольщикам и (или) дольщикам в рамках реновации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заключаемых договоров о долевом участии в жилищном строительстве и долевом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участии в жилищном строительстве в рамках реновации,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учитывая, что Залогодержатель предоставляет гарантию завершения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по договору о предоставлении гарантии (далее - Договор гарантии)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о предоставлении гарантии в рамках реновации (далее –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гарантии в рамках реновации), обеспечивая защиту интересов дольщиков,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неприкосновенность Проекта от притязаний кредиторов Застройщика,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Уполномоченной компании, иных третьих лиц, Стороны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залога голосующих акций (долей участия в уставном капитале)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уполномоченной компании (далее - Договор):";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Предметом настоящего Договора является передача в залог Залогодержателю, принадлежащего Залогодателю на праве собственности Предмета залога с целью обеспечения исполнения обязательств Залогодателя и Уполномоченной компании перед Залогодержателем по Договору гарантии или Договору гарантии в рамках реновации.";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двух дней после полного исполнения Залогодателем и Уполномоченной компанией обязательств перед Залогодержателем по Договору гарантии или по Договору гарантии в рамках реновации снять обременение с Предмета залога с возвратом оригиналов документов, указанных в пункте 2 настоящего Договора.";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Залогодержатель вправе обратить взыскание на Предмет залога в случае неисполнения Залогодателем и (или) Уполномоченной компанией обязательств, определенных условиями Договора гарантии или Договора гарантии в рамках реновации, после наступления срока исполнения указанных обязательств.";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Залог обеспечивает требования Залогодержателя по Договору гарантии или по Договору гарантии в рамках реновации, в том объеме, в каком они существуют к моменту их удовлетворения за счет заложенного имущества, включая возмещение убытков и/или в качестве неустойки (штрафа, пени) вследствие неисполнения, просрочки исполнения или иного ненадлежащего исполнения, обеспеченного ипотекой обязательства, а также возмещение расходов по взысканию и реализации заложенного имущества.";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Настоящий Договор считается заключенным и вступает в силу с момента его государственной регистрации в установленном законодательством Республики Казахстан порядке и действует до полного исполнения обязательств Залогодателя по Договору гарантии или по Договору гарантии в рамках реновации.".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345 "Об утверждении типовой формы договора о долевом участии в жилищном строительстве" (зарегистрирован в Реестре государственной регистрации нормативных правовых актов за № 14185) следующее дополнение: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договор о предоставлении гарантии долевого участия в жилищном строительстве в рамках реновации № _______ от ________.". 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347 "Об утверждении Методики расчета и формирования резерва на урегулирование гарантийных случаев" (зарегистрирован в Реестре государственной регистрации нормативных правовых актов за № 14183) следующие изменения: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расчета и формирования резерва на урегулирование гарантийных случаев, утвержденной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Методика регламентирует расчет и формирование целевого уровня и размера резерва Единым оператором жилищного строительства (далее – Единый оператор) на дату заключения договора о предоставлении гарантии и (или) договора о предоставлении гарантии в рамках реновации для покрытия обязательств, связанных с завершением строительства многоквартирного жилого дома или комплекса индивидуальных жилых домов или проектов реновации ветхого и аварийного жилья в гарантийных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единообразного применения в настоящей Методике используются следующие понятия: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потери/убытки (Expected losses – EL) – сумма ожидаемых расходов, возникающих в процессе завершения строительства многоквартирного жилого дома или комплекса индивидуальных жилых домов или проектов реновации ветхого и аварийного жилья с учетом вероятности наступления гарантийного случая;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целевой уровень резерва на урегулирование гарантийных случаев (Target Reserve Ratio – TRR) – отношение совокупной суммы потерь/убытков Единого оператора к совокупной сумме гарантийных обязательств в процентном выражении;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вероятность наступления гарантийного случая (Probability of Default – PD) – совокупность обстоятельств (объективных и субъективных), влекущих неисполнение уполномоченной компанией/застройщиком своих обязательств по договору о предоставлении гарантии;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гарантийных обязательств (Exposure at Default – EAD) – проектная стоимость многоквартирного жилого дома или комплекса индивидуальных жилых домов или проектов реновации ветхого и аварийного жилья, определенная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вычетом стоимости незавершенного строительства, подтвержденная отчетом независимой оценочной компании и актами выполненных работ.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Единым оператором допускается уменьшение обязательств по гарантии соразмерно разнице между стоимостью незавершенного строительства на момент выдачи гарантии Единого оператора и суммой незавершенного строительства на последнюю отчетную дату, подтвержденной отчетом об оценке,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непредвиденные расходы (Unexpected Losses – UL) – отклонения от ожидаемого значения убытков, возникающих с определенной степенью вероятности наступления гарантийного случая;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доля невосстанавливаемых ресурсов при завершении строительства многоквартирного жилого дома или комплекса индивидуальных жилых домов или проектов реновации ветхого и аварийного жилья (Loss Given Default – LGD) – доля совокупной суммы потерь, не восстановленная по итогам завершения строительства многоквартирного жилого дома или комплекса индивидуальных жилых домов или реализации проектов реновации ветхого и аварийного жилья;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совокупная сумма потерь/убытков (Covered Losses – CL) – сумма ожидаемых и непредвиденных расходов, возникающих в процессе завершения строительства многоквартирного жилого дома или комплекса индивидуальных жилых домов или проектов реновации ветхого и аварийного жилья при наступлении гарантийного случая.".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348 "Об утверждении типовой формы договора доверительного управления голосующими акциями (долями участия в уставном капитале) уполномоченной компании" (зарегистрирован в Реестре государственной регистрации нормативных правовых актов за № 14182) следующие изменения: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доверительного управления голосующими акциями (долями участия в уставном капитале) уполномоченной компании, утвержденной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"город ______ "___" _____ 20_года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Доверительный управляющий)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(-ая) на основании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Учредитель)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(-ей) на основании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другой стороны, совместно именуемые Стороны,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долевом участии в жилищном строительстве" от 7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Закон), принимая во внимание, что Учредитель является единственным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акционером/участником Уполномоченной компании, обеспечивающей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многоквартирного жилого дома или комплекса индивидуальных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реализацию долей в многоквартирном жилом доме или комплексе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жилых домов _____________________ (далее – Проект) путем привлечения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дольщиков и (или) дольщиков в рамках реновации, учитывая, что Доверительный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предоставит Уполномоченной компании гарантию завершения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строительства Проекта, заключили настоящий договор (далее –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доверительного управления) о нижеследующем.";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Гарантийный случай - событие или совокупность событий,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 наступлением которых у Единого оператора жилищного строительства возникают обязательства по завершению строительства многоквартирного жилого дома или комплекса индивидуальных жилых домов и ответственность перед дольщиками и (или) дольщиками в рамках реновации по договору о предоставлении гарантии долевого участия в жилищном строительстве и (или) договора о предоставлении гарантии в рамках реновации.";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Выгодоприобретателями по настоящему Договору являются Учредитель и дольщики и (или) дольщики в рамках реновации многоквартирного жилого дома или комплекса индивидуальных жилых домов, неисполнение обязательств по строительству которого повлекло наступление Гарантийного случая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