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5bc2" w14:textId="0bb5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приказа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марта 2026 года № 107-н/қ. Зарегистрирован в Министерстве юстиции Республики Казахстан 11 марта 2026 года № 38117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 (зарегистрирован в Реестре государственной регистрации нормативных правовых актов за № 16098)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допустимый объем – разность 700 (семьсот) процентов от объема инвестиций 2015 года и суммы уровней необходимого ежегодного возврата по инвестиционным программам модернизации, расширения, реконструкции и (или) обновления действующих инвестиционных соглашений на модернизацию, расширение, реконструкцию и (или) обновление, заключенных в предыдущих периодах (годах);".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