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f989" w14:textId="23bf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28 февраля 2026 года № 37. Зарегистрирован в Министерстве юстиции Республики Казахстан 2 марта 2026 года № 38068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 (зарегистрирован в Реестре государственной регистрации нормативных правовых актов за № 9744)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регистрации заявления, сообщения или рапорта об уголовных правонарушениях, а также ведения Единого реестра досудебных расследований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Единый реестр досудебных расследований (далее - ЕРДР) – информационная система, в которую вносятся сведения о поводах к началу досудебного расследования, перечисленных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принятых по ним процессуальных решениях, произведенных действиях, движении уголовного производства, заявителях и участниках уголовного процесса, а также осуществляется ведение уголовного судопроизводства в электронном формате на стадии досудебного расследования;";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Должностные лица органов уголовного преследования принимают информацию о любом уголовном правонарушении. Дежурными частями прием осуществляется круглосуточно.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имеющие доступ к ЕРДР, после приема информации об уголовном правонарушении производят ее фиксацию в КУИ.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информации об уголовном правонарушении из электронных информационных ресурсов и интернет-ресурсов, интегрированных с ЕРДР, их фиксация в КУИ при технической возможности производится автоматически либо управомоченным лицом.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доступа к ЕРДР должностное лицо, принявшее информацию об уголовном правонарушении, уведомляет с использованием средств связи управомоченное лицо, которое на основании полученного уведомления производит фиксацию в КУИ, о чем составляет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полученные в ходе оперативно-розыскной деятельности, после их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деятельности", в том числе с применением специальных оперативных розыскных мероприятий, при установлении признаков уголовного правонарушения, подлежат регистрации в ЕРДР по рапорту должностного лица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184 УПК.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Анонимные обращения, в том числе сообщения неизвестных лиц, поступившие по каналам связи, фиксируются в КУИ, и содержащиеся в нем сведения об уголовном правонарушении могут быть зарегистрированы в ЕРДР только в случае их подтверждения по рапорту должностного лица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184 УПК.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органами уголовного преследования административные правонарушения и дисциплинарные проступки не подлежат фиксации в КУИ.";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пятой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"Заявления и сообщения о совершенном, готовящемся уголовном правонарушении, поступающие из электронных информационных ресурсов и интернет-ресурсов, интегрированных с ЕРДР, подлежат регистрации в КУИ в соответствии с настоящими Правилами.";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получении информации об уголовном правонарушении, в том числе поступившей из электронных информационных ресурсов и интернет-ресурсов, интегрированных с ЕРДР, за исключением поводов, указанных в пунктах 9-11 настоящих Правил, следователями, дознавателями, прокурорами, управомоченными лицами, а также должностными лицами, которым поручено рассмотрение данной информации, незамедлительно, но не позднее 24 часов, обеспечивается принятие заявления, сообщения об уголовном правонарушении с соблюдением требований пунктов 9, 10 настоящих Правил и их регистрация в ЕРДР в соответствии с пунктом 12 настоящих Правил.";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Общественное место – место общего пользования в черте или вне населенных пунктов, предназначенное для использования населением, а также проведения массовых мероприятий, обслуживания и отдыха граждан.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общественным местам относятся: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 и отдыха;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пункты общественного питания;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кинотеатры, театры, цирки, концертные, смотровые и выставочные залы, спортивные арены и другие крытые сооружения, предназначенные для массового отдыха, в том числе ночные клубы и дискотеки;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музеи, библиотеки и лектории;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поезда местного и дальнего сообщений, суда воздушного, морского и речного транспорта, салоны городских, междугородних автобусов, маршрутных такси и городского электротранспорта;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здания аэропортов, железнодорожных, автомобильных и водных вокзалов, перроны железнодорожных вокзалов и метрополитены;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помещения государственных органов и организаций, не использующих пропускной режим;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помещения, являющиеся рабочими местами, на объектах с пропускным режимом, используемых трудовыми коллективами для работы, в случаях совершения хулиганства;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подъезды домов;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места, предусмотренные пунктом 28 настоящих Правил.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подъездам домов относятся подъезды многоквартирного жилого дома и подъезды общежитий.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Общественные места подразделяются на: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постоянные (места, доступ к которым открыт в любое время: улицы, переулки, скверы, бульвары, набережные, площади, вокзалы, дворы (за исключением дворов частных домов);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периодические (помещения, предназначенные для обслуживания и отдыха населения в определенные часы: рынки, образовательные и лечебно-оздоровительные учреждения, зоны отдыха, культурные, развлекательные, спортивные учреждения, общественный транспорт, предприятия торговли, пассажирские вагоны, общественные туалеты).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пассажирским вагонам относятся вагоны, предназначенные для перевозки пассажиров, а также почтовые, почтово-багажные, багажные, вагоны-рестораны служебно-технические (служебные, клубы, санитарные, испытательные и измерительные, лаборатории и другие специальные вагоны пассажирского типа).";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Не подлежат учету, как совершенные в общественных местах и на улицах: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правонарушения, совершенные на объектах общественного назначения, в момент совершения правонарушения не выполняющих свои функции;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правонарушения, совершенные на объектах с пропускным режимом, используемых коллективами трудящихся для работы, и охраняемых автостоянках;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правонарушения, совершенные в подсобных помещениях, гардеробах и служебных кабинетах организаций, учреждений, торговых и увеселительных заведений;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правонарушения, совершенные на территории заброшенных зданий, вне зависимости от наличия ограждения, в подземных коммуникациях, на необустроенном участке местности – пустыре, побережье реки, за исключением набережных улиц и пляжа, участке автодороги без каких-либо объектов инфраструктуры;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кражи из квартир и другие правонарушения, совершенные в жилых помещениях общежитий, гостиниц, домов отдыха, вагонов пассажирских поездов, находящихся на перегонах в случае отсутствия пассажиров, разъездах, в тупиках и парках отстоев;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правонарушения, совершенные в местах общего пользования в коммунальных квартирах, чердаках, подвалах;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дорожно-транспортные правонарушения;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интернет-мошенничества, а также правонарушения, совершенные с использованием информационно-коммуникационных технологий.";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"57-1. Участникам уголовного процесса с момента приобретения процессуального статуса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посредством публичного сектора предоставляется доступ: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имеющимся сведениям в ЕРДР о принятых процессуальных решениях, материалам уголовного дела в отношении себя или о защищаемом им лице;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подачи ходатайств, жалоб,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и получению на них ответов в электронном формате.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с публичным сектором участникам уголовного процесса необходимы подключение к Интернету, наличие ЭЦП и регистрация на публичном секторе.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уголовного процесса предоставляется доступ к процессуальным решениям, которые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вручению.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участников уголовного процесса производится самостоятельно в публичном секторе с учетом ограничений, предусмотренных УПК РК.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предоставляется лицом, осуществляющим досудебное расследование, в объеме,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жалобы участника уголовного процесса на решения и действия (бездействия) лица, осуществляющего досудебное расследование, начальника следственного отдела, начальника органа дознания и прокурора посредством публичного сектора, нарочно, по общедоступным информационным системам или посредством информационной системы "E-Otinish" форма 1-ЖУ "Форма по учету жалоб на досудебной стадии уголовного процесса"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форма 1-ЖУ) заполняется сотрудником (работником) канцелярии правоохранительных органов, военной полиции Вооруженных сил Республики Казахстан, а также ответственным сотрудником (работником) специальных государственных органов.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ходатайства участника уголовного процесса сотрудником (работником) канцелярии правоохранительных органов, военной полиции Вооруженных сил Республики Казахстан, а также ответственным сотрудником (работником) специальных государственных органов заполняется форма 1-УХ "Форма по учету ходатайств на досудебной стадии уголовного процесса"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форма 1-УХ).";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8.1. в следующей редакции: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"8.1. Ходатайство в сфере предпринимательской деятельности.";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8.2. в следующей редакции: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"8.2. Жалоба в сфере предпринимательской деятельности.".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 после его официального опубликования;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территориальным и приравненным к ним органам Комитета для исполнения.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