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9561" w14:textId="b619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деятельности финансовых организаций</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27 января 2026 года № 1. Зарегистрировано в Министерстве юстиции Республики Казахстан 2 февраля 2026 года № 37932.</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нормативных правовых актов Республики Казахстан по вопросам регулирования деятельности финансовых организаций, в которые вносятся изменения.</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января 2026 года № 1</w:t>
            </w:r>
          </w:p>
        </w:tc>
      </w:tr>
    </w:tbl>
    <w:bookmarkStart w:name="z14"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деятельности финансовых организаций, в которые вносятся изменения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следующие изменения: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деятельности финансовых организаций, в которые вносятся изменения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18"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(зарегистрировано в Реестре государственной регистрации нормативных правовых актов под № 14788) приостановить с 1 января 2026 года до 31 декабря 2027 года включительно действие следующей нормы:</w:t>
      </w:r>
    </w:p>
    <w:bookmarkEnd w:id="10"/>
    <w:bookmarkStart w:name="z19"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Пруденциальных нормативах</w:t>
      </w:r>
      <w:r>
        <w:rPr>
          <w:rFonts w:ascii="Times New Roman"/>
          <w:b w:val="false"/>
          <w:i w:val="false"/>
          <w:color w:val="000000"/>
          <w:sz w:val="28"/>
        </w:rPr>
        <w:t xml:space="preserve">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утвержденных указанным постановлением: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33</w:t>
      </w:r>
      <w:r>
        <w:rPr>
          <w:rFonts w:ascii="Times New Roman"/>
          <w:b w:val="false"/>
          <w:i w:val="false"/>
          <w:color w:val="000000"/>
          <w:sz w:val="28"/>
        </w:rPr>
        <w:t>, установив, что в период приостановления данный пункт действует в следующей редакции:</w:t>
      </w:r>
    </w:p>
    <w:bookmarkStart w:name="z21" w:id="12"/>
    <w:p>
      <w:pPr>
        <w:spacing w:after="0"/>
        <w:ind w:left="0"/>
        <w:jc w:val="both"/>
      </w:pPr>
      <w:r>
        <w:rPr>
          <w:rFonts w:ascii="Times New Roman"/>
          <w:b w:val="false"/>
          <w:i w:val="false"/>
          <w:color w:val="000000"/>
          <w:sz w:val="28"/>
        </w:rPr>
        <w:t>
      "33. Отношение размера риска Организации на одного заемщика по его обязательствам к собственному капиталу Организации не превышает k2 - 0,25, за исключением размера риска на банки второго уровня, имеющих рейтинг не ниже "ВВ-" агентства Standard &amp; Poor's (Стандард энд Пурс) или рейтинг аналогичного уровня одного из других рейтинговых агентств.</w:t>
      </w:r>
    </w:p>
    <w:bookmarkEnd w:id="12"/>
    <w:bookmarkStart w:name="z22" w:id="13"/>
    <w:p>
      <w:pPr>
        <w:spacing w:after="0"/>
        <w:ind w:left="0"/>
        <w:jc w:val="both"/>
      </w:pPr>
      <w:r>
        <w:rPr>
          <w:rFonts w:ascii="Times New Roman"/>
          <w:b w:val="false"/>
          <w:i w:val="false"/>
          <w:color w:val="000000"/>
          <w:sz w:val="28"/>
        </w:rPr>
        <w:t>
      Отношение размера риска Организации на один банк второго уровня по его обязательствам к собственному капиталу Организации не превышает k2 - 0,5. При условии наличия у банка второго уровня рейтинга не ниже "ВВ-" агентства Standard &amp; Poor's (Стандард энд Пурс) или рейтинг аналогичного уровня одного из других рейтинговых агентств.</w:t>
      </w:r>
    </w:p>
    <w:bookmarkEnd w:id="13"/>
    <w:bookmarkStart w:name="z23" w:id="14"/>
    <w:p>
      <w:pPr>
        <w:spacing w:after="0"/>
        <w:ind w:left="0"/>
        <w:jc w:val="both"/>
      </w:pPr>
      <w:r>
        <w:rPr>
          <w:rFonts w:ascii="Times New Roman"/>
          <w:b w:val="false"/>
          <w:i w:val="false"/>
          <w:color w:val="000000"/>
          <w:sz w:val="28"/>
        </w:rPr>
        <w:t xml:space="preserve">
      Максимальный размер займов Организации (ссудный портфель), формируемый в соответствии с Максимальным размером займов организации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Пруденциальным нормативам, не превышает размер собственного капитала Организации более чем в 8 (восемь) раз.".</w:t>
      </w:r>
    </w:p>
    <w:bookmarkEnd w:id="14"/>
    <w:bookmarkStart w:name="z24" w:id="1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следующие изменения:</w:t>
      </w:r>
    </w:p>
    <w:bookmarkEnd w:id="15"/>
    <w:bookmarkStart w:name="z25"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27" w:id="17"/>
    <w:p>
      <w:pPr>
        <w:spacing w:after="0"/>
        <w:ind w:left="0"/>
        <w:jc w:val="both"/>
      </w:pPr>
      <w:r>
        <w:rPr>
          <w:rFonts w:ascii="Times New Roman"/>
          <w:b w:val="false"/>
          <w:i w:val="false"/>
          <w:color w:val="000000"/>
          <w:sz w:val="28"/>
        </w:rPr>
        <w:t>
      "79. С 1 июля 2016 года по 31 августа 2018 года коэффициент покрытия ликвидности рассчитывается банками с целью оценки риска ликвидности. Расчет коэффициента покрытия ликвидности производится за последний рабочий день месяца с представлением результатов расчетов уполномоченному органу на ежемесячной основе. Минимальное значение коэффициента покрытия ликвидности устанавливается в размере:</w:t>
      </w:r>
    </w:p>
    <w:bookmarkEnd w:id="17"/>
    <w:bookmarkStart w:name="z28" w:id="18"/>
    <w:p>
      <w:pPr>
        <w:spacing w:after="0"/>
        <w:ind w:left="0"/>
        <w:jc w:val="both"/>
      </w:pPr>
      <w:r>
        <w:rPr>
          <w:rFonts w:ascii="Times New Roman"/>
          <w:b w:val="false"/>
          <w:i w:val="false"/>
          <w:color w:val="000000"/>
          <w:sz w:val="28"/>
        </w:rPr>
        <w:t>
      с 1 сентября 2018 года по 31 декабря 2018 года - 0,5;</w:t>
      </w:r>
    </w:p>
    <w:bookmarkEnd w:id="18"/>
    <w:bookmarkStart w:name="z29" w:id="19"/>
    <w:p>
      <w:pPr>
        <w:spacing w:after="0"/>
        <w:ind w:left="0"/>
        <w:jc w:val="both"/>
      </w:pPr>
      <w:r>
        <w:rPr>
          <w:rFonts w:ascii="Times New Roman"/>
          <w:b w:val="false"/>
          <w:i w:val="false"/>
          <w:color w:val="000000"/>
          <w:sz w:val="28"/>
        </w:rPr>
        <w:t>
      с 1 января 2019 года по 31 декабря 2019 года - 0,6;</w:t>
      </w:r>
    </w:p>
    <w:bookmarkEnd w:id="19"/>
    <w:bookmarkStart w:name="z30" w:id="20"/>
    <w:p>
      <w:pPr>
        <w:spacing w:after="0"/>
        <w:ind w:left="0"/>
        <w:jc w:val="both"/>
      </w:pPr>
      <w:r>
        <w:rPr>
          <w:rFonts w:ascii="Times New Roman"/>
          <w:b w:val="false"/>
          <w:i w:val="false"/>
          <w:color w:val="000000"/>
          <w:sz w:val="28"/>
        </w:rPr>
        <w:t>
      с 1 января 2020 года по 31 марта 2020 года - 0,8, с 1 апреля 2020 года по 30 сентября 2020 года - 0,6, с 1 октября 2020 года по 31 декабря 2020 года - 0,8;</w:t>
      </w:r>
    </w:p>
    <w:bookmarkEnd w:id="20"/>
    <w:bookmarkStart w:name="z31" w:id="21"/>
    <w:p>
      <w:pPr>
        <w:spacing w:after="0"/>
        <w:ind w:left="0"/>
        <w:jc w:val="both"/>
      </w:pPr>
      <w:r>
        <w:rPr>
          <w:rFonts w:ascii="Times New Roman"/>
          <w:b w:val="false"/>
          <w:i w:val="false"/>
          <w:color w:val="000000"/>
          <w:sz w:val="28"/>
        </w:rPr>
        <w:t>
      с 1 января 2021 года по 31 декабря 2021 года - 0,9;</w:t>
      </w:r>
    </w:p>
    <w:bookmarkEnd w:id="21"/>
    <w:bookmarkStart w:name="z32" w:id="22"/>
    <w:p>
      <w:pPr>
        <w:spacing w:after="0"/>
        <w:ind w:left="0"/>
        <w:jc w:val="both"/>
      </w:pPr>
      <w:r>
        <w:rPr>
          <w:rFonts w:ascii="Times New Roman"/>
          <w:b w:val="false"/>
          <w:i w:val="false"/>
          <w:color w:val="000000"/>
          <w:sz w:val="28"/>
        </w:rPr>
        <w:t>
      с 1 января 2022 года по 30 апреля 2022 года - 1;</w:t>
      </w:r>
    </w:p>
    <w:bookmarkEnd w:id="22"/>
    <w:bookmarkStart w:name="z33" w:id="23"/>
    <w:p>
      <w:pPr>
        <w:spacing w:after="0"/>
        <w:ind w:left="0"/>
        <w:jc w:val="both"/>
      </w:pPr>
      <w:r>
        <w:rPr>
          <w:rFonts w:ascii="Times New Roman"/>
          <w:b w:val="false"/>
          <w:i w:val="false"/>
          <w:color w:val="000000"/>
          <w:sz w:val="28"/>
        </w:rPr>
        <w:t>
      с 1 мая 2022 года по 31 декабря 2023 года - 0,8;</w:t>
      </w:r>
    </w:p>
    <w:bookmarkEnd w:id="23"/>
    <w:bookmarkStart w:name="z34" w:id="24"/>
    <w:p>
      <w:pPr>
        <w:spacing w:after="0"/>
        <w:ind w:left="0"/>
        <w:jc w:val="both"/>
      </w:pPr>
      <w:r>
        <w:rPr>
          <w:rFonts w:ascii="Times New Roman"/>
          <w:b w:val="false"/>
          <w:i w:val="false"/>
          <w:color w:val="000000"/>
          <w:sz w:val="28"/>
        </w:rPr>
        <w:t>
      c 1 января 2024 года по 31 декабря 2027 года - 0,9;</w:t>
      </w:r>
    </w:p>
    <w:bookmarkEnd w:id="24"/>
    <w:bookmarkStart w:name="z35" w:id="25"/>
    <w:p>
      <w:pPr>
        <w:spacing w:after="0"/>
        <w:ind w:left="0"/>
        <w:jc w:val="both"/>
      </w:pPr>
      <w:r>
        <w:rPr>
          <w:rFonts w:ascii="Times New Roman"/>
          <w:b w:val="false"/>
          <w:i w:val="false"/>
          <w:color w:val="000000"/>
          <w:sz w:val="28"/>
        </w:rPr>
        <w:t>
      с 1 января 2028 года - 1.</w:t>
      </w:r>
    </w:p>
    <w:bookmarkEnd w:id="25"/>
    <w:bookmarkStart w:name="z36" w:id="26"/>
    <w:p>
      <w:pPr>
        <w:spacing w:after="0"/>
        <w:ind w:left="0"/>
        <w:jc w:val="both"/>
      </w:pPr>
      <w:r>
        <w:rPr>
          <w:rFonts w:ascii="Times New Roman"/>
          <w:b w:val="false"/>
          <w:i w:val="false"/>
          <w:color w:val="000000"/>
          <w:sz w:val="28"/>
        </w:rPr>
        <w:t>
      В случае снижения значения коэффициента покрытия ликвидности ниже установленных минимальных значений, но не ниже:</w:t>
      </w:r>
    </w:p>
    <w:bookmarkEnd w:id="26"/>
    <w:bookmarkStart w:name="z37" w:id="27"/>
    <w:p>
      <w:pPr>
        <w:spacing w:after="0"/>
        <w:ind w:left="0"/>
        <w:jc w:val="both"/>
      </w:pPr>
      <w:r>
        <w:rPr>
          <w:rFonts w:ascii="Times New Roman"/>
          <w:b w:val="false"/>
          <w:i w:val="false"/>
          <w:color w:val="000000"/>
          <w:sz w:val="28"/>
        </w:rPr>
        <w:t>
      с 1 сентября 2018 года по 31 декабря 2018 года - 0,43;</w:t>
      </w:r>
    </w:p>
    <w:bookmarkEnd w:id="27"/>
    <w:bookmarkStart w:name="z38" w:id="28"/>
    <w:p>
      <w:pPr>
        <w:spacing w:after="0"/>
        <w:ind w:left="0"/>
        <w:jc w:val="both"/>
      </w:pPr>
      <w:r>
        <w:rPr>
          <w:rFonts w:ascii="Times New Roman"/>
          <w:b w:val="false"/>
          <w:i w:val="false"/>
          <w:color w:val="000000"/>
          <w:sz w:val="28"/>
        </w:rPr>
        <w:t>
      с 1 января 2019 года по 31 декабря 2019 года - 0,50;</w:t>
      </w:r>
    </w:p>
    <w:bookmarkEnd w:id="28"/>
    <w:bookmarkStart w:name="z39" w:id="29"/>
    <w:p>
      <w:pPr>
        <w:spacing w:after="0"/>
        <w:ind w:left="0"/>
        <w:jc w:val="both"/>
      </w:pPr>
      <w:r>
        <w:rPr>
          <w:rFonts w:ascii="Times New Roman"/>
          <w:b w:val="false"/>
          <w:i w:val="false"/>
          <w:color w:val="000000"/>
          <w:sz w:val="28"/>
        </w:rPr>
        <w:t>
      с 1 января 2020 года по 31 марта 2020 года - 0,68, с 1 апреля 2020 года по 30 сентября 2020 года - 0,50, с 1 октября 2020 года по 31 декабря 2020 года -0,68;</w:t>
      </w:r>
    </w:p>
    <w:bookmarkEnd w:id="29"/>
    <w:bookmarkStart w:name="z40" w:id="30"/>
    <w:p>
      <w:pPr>
        <w:spacing w:after="0"/>
        <w:ind w:left="0"/>
        <w:jc w:val="both"/>
      </w:pPr>
      <w:r>
        <w:rPr>
          <w:rFonts w:ascii="Times New Roman"/>
          <w:b w:val="false"/>
          <w:i w:val="false"/>
          <w:color w:val="000000"/>
          <w:sz w:val="28"/>
        </w:rPr>
        <w:t>
      с 1 января 2021 года по 31 декабря 2021 года - 0,77;</w:t>
      </w:r>
    </w:p>
    <w:bookmarkEnd w:id="30"/>
    <w:bookmarkStart w:name="z41" w:id="31"/>
    <w:p>
      <w:pPr>
        <w:spacing w:after="0"/>
        <w:ind w:left="0"/>
        <w:jc w:val="both"/>
      </w:pPr>
      <w:r>
        <w:rPr>
          <w:rFonts w:ascii="Times New Roman"/>
          <w:b w:val="false"/>
          <w:i w:val="false"/>
          <w:color w:val="000000"/>
          <w:sz w:val="28"/>
        </w:rPr>
        <w:t>
      с 1 января 2022 года по 30 апреля 2022 года - 0,85;</w:t>
      </w:r>
    </w:p>
    <w:bookmarkEnd w:id="31"/>
    <w:bookmarkStart w:name="z42" w:id="32"/>
    <w:p>
      <w:pPr>
        <w:spacing w:after="0"/>
        <w:ind w:left="0"/>
        <w:jc w:val="both"/>
      </w:pPr>
      <w:r>
        <w:rPr>
          <w:rFonts w:ascii="Times New Roman"/>
          <w:b w:val="false"/>
          <w:i w:val="false"/>
          <w:color w:val="000000"/>
          <w:sz w:val="28"/>
        </w:rPr>
        <w:t>
      с 1 мая 2022 года по 31 декабря 2023 года - 0,68;</w:t>
      </w:r>
    </w:p>
    <w:bookmarkEnd w:id="32"/>
    <w:bookmarkStart w:name="z43" w:id="33"/>
    <w:p>
      <w:pPr>
        <w:spacing w:after="0"/>
        <w:ind w:left="0"/>
        <w:jc w:val="both"/>
      </w:pPr>
      <w:r>
        <w:rPr>
          <w:rFonts w:ascii="Times New Roman"/>
          <w:b w:val="false"/>
          <w:i w:val="false"/>
          <w:color w:val="000000"/>
          <w:sz w:val="28"/>
        </w:rPr>
        <w:t>
      c 1 января 2024 года по 31 декабря 2027 года - 0,77;</w:t>
      </w:r>
    </w:p>
    <w:bookmarkEnd w:id="33"/>
    <w:bookmarkStart w:name="z44" w:id="34"/>
    <w:p>
      <w:pPr>
        <w:spacing w:after="0"/>
        <w:ind w:left="0"/>
        <w:jc w:val="both"/>
      </w:pPr>
      <w:r>
        <w:rPr>
          <w:rFonts w:ascii="Times New Roman"/>
          <w:b w:val="false"/>
          <w:i w:val="false"/>
          <w:color w:val="000000"/>
          <w:sz w:val="28"/>
        </w:rPr>
        <w:t>
      с 1 января 2028 года - 0,85,</w:t>
      </w:r>
    </w:p>
    <w:bookmarkEnd w:id="34"/>
    <w:bookmarkStart w:name="z45" w:id="35"/>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в уполномоченный орган план мероприятий по повышению значений коэффициента покрытия ликвидности до уровня не менее установленных минимальных значений, и производит за каждый рабочий день месяца, следующего за датой снижения коэффициента покрытия ликвидности, расчет значений коэффициента покрытия ликвидности и расчет недостатка до установленных минимальных значений.</w:t>
      </w:r>
    </w:p>
    <w:bookmarkEnd w:id="35"/>
    <w:bookmarkStart w:name="z46" w:id="36"/>
    <w:p>
      <w:pPr>
        <w:spacing w:after="0"/>
        <w:ind w:left="0"/>
        <w:jc w:val="both"/>
      </w:pPr>
      <w:r>
        <w:rPr>
          <w:rFonts w:ascii="Times New Roman"/>
          <w:b w:val="false"/>
          <w:i w:val="false"/>
          <w:color w:val="000000"/>
          <w:sz w:val="28"/>
        </w:rPr>
        <w:t>
      План мероприятий содержит меры по повышению коэффициента покрытия ликвидности до уровня не менее установленных минимальных значений в течение не более 30 (тридцати) календарных дней со дня первого снижения значений коэффициента покрытия ликвидности ниже минимальных установленных значений.</w:t>
      </w:r>
    </w:p>
    <w:bookmarkEnd w:id="36"/>
    <w:bookmarkStart w:name="z47" w:id="37"/>
    <w:p>
      <w:pPr>
        <w:spacing w:after="0"/>
        <w:ind w:left="0"/>
        <w:jc w:val="both"/>
      </w:pPr>
      <w:r>
        <w:rPr>
          <w:rFonts w:ascii="Times New Roman"/>
          <w:b w:val="false"/>
          <w:i w:val="false"/>
          <w:color w:val="000000"/>
          <w:sz w:val="28"/>
        </w:rPr>
        <w:t>
      Недостаток до установленных минимальных значений рассчитывается как разница между установленным минимальным значением и фактическим значением коэффициента покрытия ликвидности.</w:t>
      </w:r>
    </w:p>
    <w:bookmarkEnd w:id="37"/>
    <w:bookmarkStart w:name="z48" w:id="38"/>
    <w:p>
      <w:pPr>
        <w:spacing w:after="0"/>
        <w:ind w:left="0"/>
        <w:jc w:val="both"/>
      </w:pPr>
      <w:r>
        <w:rPr>
          <w:rFonts w:ascii="Times New Roman"/>
          <w:b w:val="false"/>
          <w:i w:val="false"/>
          <w:color w:val="000000"/>
          <w:sz w:val="28"/>
        </w:rPr>
        <w:t>
      Норматив считается исполненным, в случае если сумма недостатков до установленных минимальных значений за месяц, следующий за датой снижения значений коэффициента покрытия ликвидности ниже минимальных установленных значений, составляет не более 0,25.</w:t>
      </w:r>
    </w:p>
    <w:bookmarkEnd w:id="38"/>
    <w:bookmarkStart w:name="z49" w:id="39"/>
    <w:p>
      <w:pPr>
        <w:spacing w:after="0"/>
        <w:ind w:left="0"/>
        <w:jc w:val="both"/>
      </w:pPr>
      <w:r>
        <w:rPr>
          <w:rFonts w:ascii="Times New Roman"/>
          <w:b w:val="false"/>
          <w:i w:val="false"/>
          <w:color w:val="000000"/>
          <w:sz w:val="28"/>
        </w:rPr>
        <w:t>
      Норматив считается нарушенным в следующих случаях:</w:t>
      </w:r>
    </w:p>
    <w:bookmarkEnd w:id="39"/>
    <w:bookmarkStart w:name="z50" w:id="40"/>
    <w:p>
      <w:pPr>
        <w:spacing w:after="0"/>
        <w:ind w:left="0"/>
        <w:jc w:val="both"/>
      </w:pPr>
      <w:r>
        <w:rPr>
          <w:rFonts w:ascii="Times New Roman"/>
          <w:b w:val="false"/>
          <w:i w:val="false"/>
          <w:color w:val="000000"/>
          <w:sz w:val="28"/>
        </w:rPr>
        <w:t>
      снижение значения коэффициента покрытия ликвидности ниже уровня, указанного в абзацах втором, третьем, четвертом, пятом и шестом части второй настоящего пункта;</w:t>
      </w:r>
    </w:p>
    <w:bookmarkEnd w:id="40"/>
    <w:bookmarkStart w:name="z51" w:id="41"/>
    <w:p>
      <w:pPr>
        <w:spacing w:after="0"/>
        <w:ind w:left="0"/>
        <w:jc w:val="both"/>
      </w:pPr>
      <w:r>
        <w:rPr>
          <w:rFonts w:ascii="Times New Roman"/>
          <w:b w:val="false"/>
          <w:i w:val="false"/>
          <w:color w:val="000000"/>
          <w:sz w:val="28"/>
        </w:rPr>
        <w:t>
      снижение значений коэффициента покрытия ликвидности ниже минимальных установленных значений, но в пределах, установленных в абзацах втором, третьем, четвертом, пятом и шестом части второй настоящего пункта, три и более раза за последние 6 (шесть) месяцев;</w:t>
      </w:r>
    </w:p>
    <w:bookmarkEnd w:id="41"/>
    <w:bookmarkStart w:name="z52" w:id="42"/>
    <w:p>
      <w:pPr>
        <w:spacing w:after="0"/>
        <w:ind w:left="0"/>
        <w:jc w:val="both"/>
      </w:pPr>
      <w:r>
        <w:rPr>
          <w:rFonts w:ascii="Times New Roman"/>
          <w:b w:val="false"/>
          <w:i w:val="false"/>
          <w:color w:val="000000"/>
          <w:sz w:val="28"/>
        </w:rPr>
        <w:t>
      не исполнение плана мероприятий по повышению коэффициента покрытия ликвидности до уровня не менее установленных минимальных значений;</w:t>
      </w:r>
    </w:p>
    <w:bookmarkEnd w:id="42"/>
    <w:bookmarkStart w:name="z53" w:id="43"/>
    <w:p>
      <w:pPr>
        <w:spacing w:after="0"/>
        <w:ind w:left="0"/>
        <w:jc w:val="both"/>
      </w:pPr>
      <w:r>
        <w:rPr>
          <w:rFonts w:ascii="Times New Roman"/>
          <w:b w:val="false"/>
          <w:i w:val="false"/>
          <w:color w:val="000000"/>
          <w:sz w:val="28"/>
        </w:rPr>
        <w:t>
      превышение суммы недостатков до установленных минимальных значений за месяц, следующий за датой снижения значений коэффициента покрытия ликвидности ниже минимальных установленных значений, свыше 0,25.</w:t>
      </w:r>
    </w:p>
    <w:bookmarkEnd w:id="43"/>
    <w:bookmarkStart w:name="z54" w:id="44"/>
    <w:p>
      <w:pPr>
        <w:spacing w:after="0"/>
        <w:ind w:left="0"/>
        <w:jc w:val="both"/>
      </w:pPr>
      <w:r>
        <w:rPr>
          <w:rFonts w:ascii="Times New Roman"/>
          <w:b w:val="false"/>
          <w:i w:val="false"/>
          <w:color w:val="000000"/>
          <w:sz w:val="28"/>
        </w:rPr>
        <w:t>
      Коэффициент покрытия ликвидности не считается нарушенным в период с 21 февраля 2022 года по 31 декабря 2022 года включительно в случае снижения его значения ниже установленного минимального значения по независящим от банка обстоятельствам, связанным с:</w:t>
      </w:r>
    </w:p>
    <w:bookmarkEnd w:id="44"/>
    <w:bookmarkStart w:name="z55" w:id="45"/>
    <w:p>
      <w:pPr>
        <w:spacing w:after="0"/>
        <w:ind w:left="0"/>
        <w:jc w:val="both"/>
      </w:pPr>
      <w:r>
        <w:rPr>
          <w:rFonts w:ascii="Times New Roman"/>
          <w:b w:val="false"/>
          <w:i w:val="false"/>
          <w:color w:val="000000"/>
          <w:sz w:val="28"/>
        </w:rPr>
        <w:t>
      оттоком денежных средств клиентов;</w:t>
      </w:r>
    </w:p>
    <w:bookmarkEnd w:id="45"/>
    <w:bookmarkStart w:name="z56" w:id="46"/>
    <w:p>
      <w:pPr>
        <w:spacing w:after="0"/>
        <w:ind w:left="0"/>
        <w:jc w:val="both"/>
      </w:pPr>
      <w:r>
        <w:rPr>
          <w:rFonts w:ascii="Times New Roman"/>
          <w:b w:val="false"/>
          <w:i w:val="false"/>
          <w:color w:val="000000"/>
          <w:sz w:val="28"/>
        </w:rPr>
        <w:t>
      переоценкой стоимости активов и обязательств в связи с изменением биржевого курса тенге к иностранным валютам;</w:t>
      </w:r>
    </w:p>
    <w:bookmarkEnd w:id="46"/>
    <w:bookmarkStart w:name="z57" w:id="47"/>
    <w:p>
      <w:pPr>
        <w:spacing w:after="0"/>
        <w:ind w:left="0"/>
        <w:jc w:val="both"/>
      </w:pPr>
      <w:r>
        <w:rPr>
          <w:rFonts w:ascii="Times New Roman"/>
          <w:b w:val="false"/>
          <w:i w:val="false"/>
          <w:color w:val="000000"/>
          <w:sz w:val="28"/>
        </w:rPr>
        <w:t>
      изменением валютной структуры обязательств банка.</w:t>
      </w:r>
    </w:p>
    <w:bookmarkEnd w:id="47"/>
    <w:bookmarkStart w:name="z58" w:id="48"/>
    <w:p>
      <w:pPr>
        <w:spacing w:after="0"/>
        <w:ind w:left="0"/>
        <w:jc w:val="both"/>
      </w:pPr>
      <w:r>
        <w:rPr>
          <w:rFonts w:ascii="Times New Roman"/>
          <w:b w:val="false"/>
          <w:i w:val="false"/>
          <w:color w:val="000000"/>
          <w:sz w:val="28"/>
        </w:rPr>
        <w:t>
      Банк в течение 3 (трех) рабочих дней со дня выявления такого снижения направляет на согласование в уполномоченный орган план мероприятий по повышению коэффициента покрытия ликвидности до уровня не менее установленного минимального значения в срок до 9 (девяти) месяцев со дня выявления указанного снижения.</w:t>
      </w:r>
    </w:p>
    <w:bookmarkEnd w:id="48"/>
    <w:bookmarkStart w:name="z59" w:id="49"/>
    <w:p>
      <w:pPr>
        <w:spacing w:after="0"/>
        <w:ind w:left="0"/>
        <w:jc w:val="both"/>
      </w:pPr>
      <w:r>
        <w:rPr>
          <w:rFonts w:ascii="Times New Roman"/>
          <w:b w:val="false"/>
          <w:i w:val="false"/>
          <w:color w:val="000000"/>
          <w:sz w:val="28"/>
        </w:rPr>
        <w:t>
      Уполномоченный орган осуществляет согласование плана мероприятий, указанного в части восьмой настоящего пункта, в течение 10 (десяти) рабочих дней со дня его представления.</w:t>
      </w:r>
    </w:p>
    <w:bookmarkEnd w:id="49"/>
    <w:bookmarkStart w:name="z60" w:id="50"/>
    <w:p>
      <w:pPr>
        <w:spacing w:after="0"/>
        <w:ind w:left="0"/>
        <w:jc w:val="both"/>
      </w:pPr>
      <w:r>
        <w:rPr>
          <w:rFonts w:ascii="Times New Roman"/>
          <w:b w:val="false"/>
          <w:i w:val="false"/>
          <w:color w:val="000000"/>
          <w:sz w:val="28"/>
        </w:rPr>
        <w:t>
      В случае, если данное снижение не будет устранено в срок, установленный планом мероприятий, снижение коэффициента покрытия ликвидности рассматривается как нарушение данного норматива со дня выявления указанного снижения.";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Правления Агентства РК по регулированию и развитию финансового рынка от 03.04.2026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для исламских банков</w:t>
            </w:r>
          </w:p>
        </w:tc>
      </w:tr>
    </w:tbl>
    <w:bookmarkStart w:name="z114" w:id="51"/>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w:t>
            </w:r>
          </w:p>
          <w:p>
            <w:pPr>
              <w:spacing w:after="20"/>
              <w:ind w:left="20"/>
              <w:jc w:val="both"/>
            </w:pPr>
            <w:r>
              <w:rPr>
                <w:rFonts w:ascii="Times New Roman"/>
                <w:b w:val="false"/>
                <w:i w:val="false"/>
                <w:color w:val="000000"/>
                <w:sz w:val="20"/>
              </w:rPr>
              <w:t>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"AA-"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"AA-"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оригинатором-национальным холдингом, национальным управляющим холдингом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акционерными обществами "Фонд национального благосостояния "Самрук-Қазына", "Национальный управляющий холдинг "Байтерек", "Фонд проблемных кредитов", ценные бумаги, выпущенные акционерным обществом "Банк Развития Казахстана"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"AA-"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оригинатором-юридическим лицом, 100 (сто) процентов голосующих акций (долей участия) которых принадлежат национальному управляющему холдингу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"AA-"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статье 24 Предпринимательского кодекса Республики Казахстан, обеспеченные безусловной и безотзывной гарантией акционерного общества "Фонд развития предпринимательства "ДАМУ" и (или) акционерного общества "БанкРазвития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53, 57 и 58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54, 58 и 59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53, 54, 55, 58 и 59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53, 54, 55, 58 и 59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53, 54, 55, 58 и 59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статье 24</w:t>
            </w:r>
            <w:r>
              <w:rPr>
                <w:rFonts w:ascii="Times New Roman"/>
                <w:b w:val="false"/>
                <w:i w:val="false"/>
                <w:color w:val="000000"/>
                <w:sz w:val="20"/>
              </w:rPr>
              <w:t xml:space="preserve"> Предпринимательского кодекса Республики Казахстан, соответствующие следующим критериям:</w:t>
            </w:r>
          </w:p>
          <w:p>
            <w:pPr>
              <w:spacing w:after="20"/>
              <w:ind w:left="20"/>
              <w:jc w:val="both"/>
            </w:pPr>
            <w:r>
              <w:rPr>
                <w:rFonts w:ascii="Times New Roman"/>
                <w:b w:val="false"/>
                <w:i w:val="false"/>
                <w:color w:val="000000"/>
                <w:sz w:val="20"/>
              </w:rPr>
              <w:t>
1) сумма займа не превышает 500 (пятьсот) миллионов тенге или 0,2 (ноль целых две десятых)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2022 года по 31 декабря 2023 года – 50 с 1 января 2024 года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"A+" до "A-"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0"/>
              </w:rPr>
              <w:t>статье 24</w:t>
            </w:r>
            <w:r>
              <w:rPr>
                <w:rFonts w:ascii="Times New Roman"/>
                <w:b w:val="false"/>
                <w:i w:val="false"/>
                <w:color w:val="000000"/>
                <w:sz w:val="20"/>
              </w:rPr>
              <w:t xml:space="preserve"> Предпринимательского кодекса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p>
            <w:pPr>
              <w:spacing w:after="20"/>
              <w:ind w:left="20"/>
              <w:jc w:val="both"/>
            </w:pPr>
            <w:r>
              <w:rPr>
                <w:rFonts w:ascii="Times New Roman"/>
                <w:b w:val="false"/>
                <w:i w:val="false"/>
                <w:color w:val="000000"/>
                <w:sz w:val="20"/>
              </w:rPr>
              <w:t>
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Республики Казахстан, имеющим рейтинг ниже "A-"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организациям-резидентам Республики Казахстан, имеющим долговой рейтинг ниже "A-"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банковские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физическим лицам, в том числе потребительские банковские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54, 58 и 59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банковские займы, соответствующие одному из следующих критериев, рассчитываемых банком: 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xml:space="preserve">
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августа 2025 года № 52 "Об установлении макропруденциальных нормативов и лимитов, их нормативных значений и методики расчетов" (зарегистрированным в Реестре государственной регистрации нормативных правовых актов под № 36722),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подпунктах 1) или 2) настоящей строки. В случае отсутствия у банка информации, предусмотренной в подпунктах 1) и (или) 2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банковские займы (за исключением ипотечных жилищных займов и займов физическим лицам, указанных в строке 58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Республики Казахстан, имеющими рейтинг ниже "A-"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8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Республики Казахстан, имеющим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организациям-нерезидентам Республики Казахстан, имеющим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в иностранной валюте на срок более 1 (одного) года организациям-резидентам Республики Казахстан, а также организациям-нерезидентам Республики Казахстан, имеющим долговой рейтинг не ниже "ВВ-" агентства Standard&amp;Poor's (Стандард энд Пурс) или рейтинг аналогичного уровня одного из других рейтинговых агентств, и соответствующие следующим критериям:</w:t>
            </w:r>
          </w:p>
          <w:p>
            <w:pPr>
              <w:spacing w:after="20"/>
              <w:ind w:left="20"/>
              <w:jc w:val="both"/>
            </w:pPr>
            <w:r>
              <w:rPr>
                <w:rFonts w:ascii="Times New Roman"/>
                <w:b w:val="false"/>
                <w:i w:val="false"/>
                <w:color w:val="000000"/>
                <w:sz w:val="20"/>
              </w:rPr>
              <w:t>
1) не менее 50 (процентов) займа обеспечено твердыми ликвидными залогами;</w:t>
            </w:r>
          </w:p>
          <w:p>
            <w:pPr>
              <w:spacing w:after="20"/>
              <w:ind w:left="20"/>
              <w:jc w:val="both"/>
            </w:pPr>
            <w:r>
              <w:rPr>
                <w:rFonts w:ascii="Times New Roman"/>
                <w:b w:val="false"/>
                <w:i w:val="false"/>
                <w:color w:val="000000"/>
                <w:sz w:val="20"/>
              </w:rPr>
              <w:t>
2) отношение долговых обязательств заемщика, включая внутригрупповые и внебалансовые обязательства, к прибыли до вычета расходов по выплате вознаграждений, налоговых отчислений и амортизации (EBITDA) (ЕБИТДА) по группе заемщика, не более 4, подтверждаемой финансовой отчетностью группы за последний финансовый год и (или) консолидированной управленческой отчетностью, представленной заемщиком и проверенной банком;</w:t>
            </w:r>
          </w:p>
          <w:p>
            <w:pPr>
              <w:spacing w:after="20"/>
              <w:ind w:left="20"/>
              <w:jc w:val="both"/>
            </w:pPr>
            <w:r>
              <w:rPr>
                <w:rFonts w:ascii="Times New Roman"/>
                <w:b w:val="false"/>
                <w:i w:val="false"/>
                <w:color w:val="000000"/>
                <w:sz w:val="20"/>
              </w:rPr>
              <w:t>
3) заемщик не имеет признаков ухудшения финансового состояния в соответствии с внутренними документами банка и внутренней методикой оценки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p>
            <w:pPr>
              <w:spacing w:after="20"/>
              <w:ind w:left="20"/>
              <w:jc w:val="both"/>
            </w:pPr>
            <w:r>
              <w:rPr>
                <w:rFonts w:ascii="Times New Roman"/>
                <w:b w:val="false"/>
                <w:i w:val="false"/>
                <w:color w:val="000000"/>
                <w:sz w:val="20"/>
              </w:rPr>
              <w:t>
1) Соединенные Штаты Aмерики (только в части территорий Aмериканских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Aндорра;</w:t>
            </w:r>
          </w:p>
          <w:p>
            <w:pPr>
              <w:spacing w:after="20"/>
              <w:ind w:left="20"/>
              <w:jc w:val="both"/>
            </w:pPr>
            <w:r>
              <w:rPr>
                <w:rFonts w:ascii="Times New Roman"/>
                <w:b w:val="false"/>
                <w:i w:val="false"/>
                <w:color w:val="000000"/>
                <w:sz w:val="20"/>
              </w:rPr>
              <w:t>
3) Государство Aнтигуа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Aрабские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Китайская Народная Республика (только в части территорий специальных административных районов Aомынь (Макао) и Сянган (Гонконг));</w:t>
            </w:r>
          </w:p>
          <w:p>
            <w:pPr>
              <w:spacing w:after="20"/>
              <w:ind w:left="20"/>
              <w:jc w:val="both"/>
            </w:pPr>
            <w:r>
              <w:rPr>
                <w:rFonts w:ascii="Times New Roman"/>
                <w:b w:val="false"/>
                <w:i w:val="false"/>
                <w:color w:val="000000"/>
                <w:sz w:val="20"/>
              </w:rPr>
              <w:t>
20) Федеральная Исламская Республика Коморские Острова;</w:t>
            </w:r>
          </w:p>
          <w:p>
            <w:pPr>
              <w:spacing w:after="20"/>
              <w:ind w:left="20"/>
              <w:jc w:val="both"/>
            </w:pPr>
            <w:r>
              <w:rPr>
                <w:rFonts w:ascii="Times New Roman"/>
                <w:b w:val="false"/>
                <w:i w:val="false"/>
                <w:color w:val="000000"/>
                <w:sz w:val="20"/>
              </w:rPr>
              <w:t>
21) Республика Коста-Рика;</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Aруба и зависимых территорий Aнтильских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Aнгилья;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имеющими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pPr>
              <w:spacing w:after="20"/>
              <w:ind w:left="20"/>
              <w:jc w:val="both"/>
            </w:pPr>
            <w:r>
              <w:rPr>
                <w:rFonts w:ascii="Times New Roman"/>
                <w:b w:val="false"/>
                <w:i w:val="false"/>
                <w:color w:val="000000"/>
                <w:sz w:val="20"/>
              </w:rPr>
              <w:t>
1) Соединенные Штаты Aмерики (только в части территорий Aмериканских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Aндорра;</w:t>
            </w:r>
          </w:p>
          <w:p>
            <w:pPr>
              <w:spacing w:after="20"/>
              <w:ind w:left="20"/>
              <w:jc w:val="both"/>
            </w:pPr>
            <w:r>
              <w:rPr>
                <w:rFonts w:ascii="Times New Roman"/>
                <w:b w:val="false"/>
                <w:i w:val="false"/>
                <w:color w:val="000000"/>
                <w:sz w:val="20"/>
              </w:rPr>
              <w:t>
3) Государство Aнтигуа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Aрабские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Китайская Народная Республика (только в части территорий специальных административных районов Aомынь (Макао) и Сянган (Гонконг));</w:t>
            </w:r>
          </w:p>
          <w:p>
            <w:pPr>
              <w:spacing w:after="20"/>
              <w:ind w:left="20"/>
              <w:jc w:val="both"/>
            </w:pPr>
            <w:r>
              <w:rPr>
                <w:rFonts w:ascii="Times New Roman"/>
                <w:b w:val="false"/>
                <w:i w:val="false"/>
                <w:color w:val="000000"/>
                <w:sz w:val="20"/>
              </w:rPr>
              <w:t>
20) Федеральная Исламская Республика Коморские Острова;</w:t>
            </w:r>
          </w:p>
          <w:p>
            <w:pPr>
              <w:spacing w:after="20"/>
              <w:ind w:left="20"/>
              <w:jc w:val="both"/>
            </w:pPr>
            <w:r>
              <w:rPr>
                <w:rFonts w:ascii="Times New Roman"/>
                <w:b w:val="false"/>
                <w:i w:val="false"/>
                <w:color w:val="000000"/>
                <w:sz w:val="20"/>
              </w:rPr>
              <w:t>
21) Республика Коста-Рика;</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Aруба и зависимых территорий Aнтильских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Aнгилья;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 Каймановы острова;</w:t>
            </w:r>
          </w:p>
          <w:p>
            <w:pPr>
              <w:spacing w:after="20"/>
              <w:ind w:left="20"/>
              <w:jc w:val="both"/>
            </w:pPr>
            <w:r>
              <w:rPr>
                <w:rFonts w:ascii="Times New Roman"/>
                <w:b w:val="false"/>
                <w:i w:val="false"/>
                <w:color w:val="000000"/>
                <w:sz w:val="20"/>
              </w:rPr>
              <w:t>
Остров Монтсеррат;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231" w:id="52"/>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52"/>
    <w:bookmarkStart w:name="z232" w:id="53"/>
    <w:p>
      <w:pPr>
        <w:spacing w:after="0"/>
        <w:ind w:left="0"/>
        <w:jc w:val="both"/>
      </w:pPr>
      <w:r>
        <w:rPr>
          <w:rFonts w:ascii="Times New Roman"/>
          <w:b w:val="false"/>
          <w:i w:val="false"/>
          <w:color w:val="000000"/>
          <w:sz w:val="28"/>
        </w:rPr>
        <w:t>
      1.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по которым у банка имеется обеспечение (в виде активов, указанных в строках 1, 2, 3, 11, 12 и 13 Таблицы активов банка, взвешенных по степени кредитного риска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53"/>
    <w:bookmarkStart w:name="z233" w:id="54"/>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11, 12 и 13 Таблицы) равняется:</w:t>
      </w:r>
    </w:p>
    <w:bookmarkEnd w:id="54"/>
    <w:bookmarkStart w:name="z234" w:id="55"/>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55"/>
    <w:bookmarkStart w:name="z235" w:id="56"/>
    <w:p>
      <w:pPr>
        <w:spacing w:after="0"/>
        <w:ind w:left="0"/>
        <w:jc w:val="both"/>
      </w:pPr>
      <w:r>
        <w:rPr>
          <w:rFonts w:ascii="Times New Roman"/>
          <w:b w:val="false"/>
          <w:i w:val="false"/>
          <w:color w:val="000000"/>
          <w:sz w:val="28"/>
        </w:rPr>
        <w:t>
      95 (девяносто пяти) процентам рыночной стоимости исламских ценных бумаг, переданных в обеспечение;</w:t>
      </w:r>
    </w:p>
    <w:bookmarkEnd w:id="56"/>
    <w:bookmarkStart w:name="z236" w:id="57"/>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57"/>
    <w:bookmarkStart w:name="z237" w:id="58"/>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58"/>
    <w:bookmarkStart w:name="z238" w:id="59"/>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59"/>
    <w:bookmarkStart w:name="z239" w:id="60"/>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гарантии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 договора страхования.</w:t>
      </w:r>
    </w:p>
    <w:bookmarkEnd w:id="60"/>
    <w:bookmarkStart w:name="z240" w:id="61"/>
    <w:p>
      <w:pPr>
        <w:spacing w:after="0"/>
        <w:ind w:left="0"/>
        <w:jc w:val="both"/>
      </w:pPr>
      <w:r>
        <w:rPr>
          <w:rFonts w:ascii="Times New Roman"/>
          <w:b w:val="false"/>
          <w:i w:val="false"/>
          <w:color w:val="000000"/>
          <w:sz w:val="28"/>
        </w:rPr>
        <w:t>
      3.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исламских ценных бумаг, займов, инвестиции, не включенных в расчет инвестиций банка) по степени риска должника.</w:t>
      </w:r>
    </w:p>
    <w:bookmarkEnd w:id="61"/>
    <w:bookmarkStart w:name="z241" w:id="62"/>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исламских ценных бумаг, коммерческих кредитов при финансировании торговой деятельности в качестве торгового посредника,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62"/>
    <w:bookmarkStart w:name="z242" w:id="63"/>
    <w:p>
      <w:pPr>
        <w:spacing w:after="0"/>
        <w:ind w:left="0"/>
        <w:jc w:val="both"/>
      </w:pPr>
      <w:r>
        <w:rPr>
          <w:rFonts w:ascii="Times New Roman"/>
          <w:b w:val="false"/>
          <w:i w:val="false"/>
          <w:color w:val="000000"/>
          <w:sz w:val="28"/>
        </w:rPr>
        <w:t>
      4.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63"/>
    <w:bookmarkStart w:name="z243" w:id="64"/>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w:t>
      </w:r>
    </w:p>
    <w:bookmarkEnd w:id="64"/>
    <w:bookmarkStart w:name="z244" w:id="65"/>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p>
    <w:bookmarkEnd w:id="65"/>
    <w:bookmarkStart w:name="z245" w:id="66"/>
    <w:p>
      <w:pPr>
        <w:spacing w:after="0"/>
        <w:ind w:left="0"/>
        <w:jc w:val="both"/>
      </w:pPr>
      <w:r>
        <w:rPr>
          <w:rFonts w:ascii="Times New Roman"/>
          <w:b w:val="false"/>
          <w:i w:val="false"/>
          <w:color w:val="000000"/>
          <w:sz w:val="28"/>
        </w:rPr>
        <w:t>
      3) являющимся гражданами оффшорных зон;</w:t>
      </w:r>
    </w:p>
    <w:bookmarkEnd w:id="66"/>
    <w:bookmarkStart w:name="z246" w:id="67"/>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настоящих Пояснений.</w:t>
      </w:r>
    </w:p>
    <w:bookmarkEnd w:id="67"/>
    <w:bookmarkStart w:name="z247" w:id="68"/>
    <w:p>
      <w:pPr>
        <w:spacing w:after="0"/>
        <w:ind w:left="0"/>
        <w:jc w:val="both"/>
      </w:pPr>
      <w:r>
        <w:rPr>
          <w:rFonts w:ascii="Times New Roman"/>
          <w:b w:val="false"/>
          <w:i w:val="false"/>
          <w:color w:val="000000"/>
          <w:sz w:val="28"/>
        </w:rPr>
        <w:t>
      5.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68"/>
    <w:bookmarkStart w:name="z248" w:id="69"/>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 но имеющим рейтинг не ниже "AA-"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рейтинг которой не ниже указанного уровня, в обеспечение всей суммы обязательств;</w:t>
      </w:r>
    </w:p>
    <w:bookmarkEnd w:id="69"/>
    <w:bookmarkStart w:name="z249" w:id="70"/>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оффшорной зоны, но имеющему рейтинг не ниже указанного уровня или соответствующую гарантию головной организации,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оффшорных зон;</w:t>
      </w:r>
    </w:p>
    <w:bookmarkEnd w:id="70"/>
    <w:bookmarkStart w:name="z250" w:id="71"/>
    <w:p>
      <w:pPr>
        <w:spacing w:after="0"/>
        <w:ind w:left="0"/>
        <w:jc w:val="both"/>
      </w:pPr>
      <w:r>
        <w:rPr>
          <w:rFonts w:ascii="Times New Roman"/>
          <w:b w:val="false"/>
          <w:i w:val="false"/>
          <w:color w:val="000000"/>
          <w:sz w:val="28"/>
        </w:rPr>
        <w:t>
      взвешиваются по нулевой степени риска.</w:t>
      </w:r>
    </w:p>
    <w:bookmarkEnd w:id="71"/>
    <w:bookmarkStart w:name="z251" w:id="72"/>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72"/>
    <w:bookmarkStart w:name="z252" w:id="73"/>
    <w:p>
      <w:pPr>
        <w:spacing w:after="0"/>
        <w:ind w:left="0"/>
        <w:jc w:val="both"/>
      </w:pPr>
      <w:r>
        <w:rPr>
          <w:rFonts w:ascii="Times New Roman"/>
          <w:b w:val="false"/>
          <w:i w:val="false"/>
          <w:color w:val="000000"/>
          <w:sz w:val="28"/>
        </w:rPr>
        <w:t>
      под ипотечным жилищным займом понимается ипотечный банковский заем, предоставляемый в целях строительства жилища либо его покупки и (или) ремонта;</w:t>
      </w:r>
    </w:p>
    <w:bookmarkEnd w:id="73"/>
    <w:bookmarkStart w:name="z253" w:id="74"/>
    <w:p>
      <w:pPr>
        <w:spacing w:after="0"/>
        <w:ind w:left="0"/>
        <w:jc w:val="both"/>
      </w:pPr>
      <w:r>
        <w:rPr>
          <w:rFonts w:ascii="Times New Roman"/>
          <w:b w:val="false"/>
          <w:i w:val="false"/>
          <w:color w:val="000000"/>
          <w:sz w:val="28"/>
        </w:rPr>
        <w:t>
      под потребительским банковским займом понимается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74"/>
    <w:bookmarkStart w:name="z254" w:id="75"/>
    <w:p>
      <w:pPr>
        <w:spacing w:after="0"/>
        <w:ind w:left="0"/>
        <w:jc w:val="both"/>
      </w:pPr>
      <w:r>
        <w:rPr>
          <w:rFonts w:ascii="Times New Roman"/>
          <w:b w:val="false"/>
          <w:i w:val="false"/>
          <w:color w:val="000000"/>
          <w:sz w:val="28"/>
        </w:rPr>
        <w:t>
      7. Если исламская ценная бумага имеет специальный рейтинг выпуска, то при взвешивании активов банка по степени риска необходимо учитывать рейтинг ценной бумаги.</w:t>
      </w:r>
    </w:p>
    <w:bookmarkEnd w:id="75"/>
    <w:bookmarkStart w:name="z255" w:id="76"/>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76"/>
    <w:bookmarkStart w:name="z256" w:id="77"/>
    <w:p>
      <w:pPr>
        <w:spacing w:after="0"/>
        <w:ind w:left="0"/>
        <w:jc w:val="both"/>
      </w:pPr>
      <w:r>
        <w:rPr>
          <w:rFonts w:ascii="Times New Roman"/>
          <w:b w:val="false"/>
          <w:i w:val="false"/>
          <w:color w:val="000000"/>
          <w:sz w:val="28"/>
        </w:rPr>
        <w:t>
      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Standard &amp; Poor's (Стандард энд Пурс) 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bookmarkEnd w:id="77"/>
    <w:bookmarkStart w:name="z257" w:id="78"/>
    <w:p>
      <w:pPr>
        <w:spacing w:after="0"/>
        <w:ind w:left="0"/>
        <w:jc w:val="both"/>
      </w:pPr>
      <w:r>
        <w:rPr>
          <w:rFonts w:ascii="Times New Roman"/>
          <w:b w:val="false"/>
          <w:i w:val="false"/>
          <w:color w:val="000000"/>
          <w:sz w:val="28"/>
        </w:rPr>
        <w:t>
      10. Активы,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78"/>
    <w:bookmarkStart w:name="z258" w:id="79"/>
    <w:p>
      <w:pPr>
        <w:spacing w:after="0"/>
        <w:ind w:left="0"/>
        <w:jc w:val="both"/>
      </w:pPr>
      <w:r>
        <w:rPr>
          <w:rFonts w:ascii="Times New Roman"/>
          <w:b w:val="false"/>
          <w:i w:val="false"/>
          <w:color w:val="000000"/>
          <w:sz w:val="28"/>
        </w:rPr>
        <w:t>
      11. Для целей расчета активов банка, взвешенных по степени риска вложений, под необеспеченным потребительским займом понимается потребительский банковский заем,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79"/>
    <w:bookmarkStart w:name="z259" w:id="80"/>
    <w:p>
      <w:pPr>
        <w:spacing w:after="0"/>
        <w:ind w:left="0"/>
        <w:jc w:val="both"/>
      </w:pPr>
      <w:r>
        <w:rPr>
          <w:rFonts w:ascii="Times New Roman"/>
          <w:b w:val="false"/>
          <w:i w:val="false"/>
          <w:color w:val="000000"/>
          <w:sz w:val="28"/>
        </w:rPr>
        <w:t xml:space="preserve">
      12. Займы, предоставленные субъектам, отнесенным к малому или среднему предпринимательству согласно </w:t>
      </w:r>
      <w:r>
        <w:rPr>
          <w:rFonts w:ascii="Times New Roman"/>
          <w:b w:val="false"/>
          <w:i w:val="false"/>
          <w:color w:val="000000"/>
          <w:sz w:val="28"/>
        </w:rPr>
        <w:t>статье 24</w:t>
      </w:r>
      <w:r>
        <w:rPr>
          <w:rFonts w:ascii="Times New Roman"/>
          <w:b w:val="false"/>
          <w:i w:val="false"/>
          <w:color w:val="000000"/>
          <w:sz w:val="28"/>
        </w:rPr>
        <w:t xml:space="preserve"> Предпринимательского кодекса Республики Казахстан, по которым у банка имеется обеспечение в виде безотзывной и безусловной гарантии общества "Фонд развития предпринимательства "ДАМУ" и (или) акционерного общества "Банк Развития Казахстана" включаются в расчет активов, взвешенных по степени риска следующим образом: в отношении части займа обеспеченной безотзывной и безусловной гарантии общества "Фонд развития предпринимательства "ДАМУ" и (или) акционерного общества "Банк Развития Казахстана" применятся коэффициент степени риска в 25 процентов, а необеспеченная часть займа взвешивается согласно Таблице, по степени риска, соответствующего контрагенту банка.</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w:t>
            </w:r>
            <w:r>
              <w:br/>
            </w:r>
            <w:r>
              <w:rPr>
                <w:rFonts w:ascii="Times New Roman"/>
                <w:b w:val="false"/>
                <w:i w:val="false"/>
                <w:color w:val="000000"/>
                <w:sz w:val="20"/>
              </w:rPr>
              <w:t>и лимитов для исламских банков</w:t>
            </w:r>
          </w:p>
        </w:tc>
      </w:tr>
    </w:tbl>
    <w:bookmarkStart w:name="z262" w:id="81"/>
    <w:p>
      <w:pPr>
        <w:spacing w:after="0"/>
        <w:ind w:left="0"/>
        <w:jc w:val="left"/>
      </w:pPr>
      <w:r>
        <w:rPr>
          <w:rFonts w:ascii="Times New Roman"/>
          <w:b/>
          <w:i w:val="false"/>
          <w:color w:val="000000"/>
        </w:rPr>
        <w:t xml:space="preserve"> Таблица условных и возможных обязательств банка, взвешенных по степени кредитного риска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по которым у банка имеется обеспечение в виде безотзывной и безусловной гарантии банков-нерезидентов Республики Казахстан, имеющих долгосрочный долговой рейтинг не ниже "А-" агентства Standard &amp;Poor’s (Стандард энд Пурс), сумма которой покрывает не менее 50 (пятидесяти) процентов объема указанных гарантий, включаются в расчет активов, условных и возможных обязательств, взвешиваемых по степени кредитного риска с учетом коэффициента конверсии 100 (сто) процентов за минусом скорректированной стоимости обеспечения.</w:t>
            </w:r>
          </w:p>
          <w:p>
            <w:pPr>
              <w:spacing w:after="20"/>
              <w:ind w:left="20"/>
              <w:jc w:val="both"/>
            </w:pPr>
            <w:r>
              <w:rPr>
                <w:rFonts w:ascii="Times New Roman"/>
                <w:b w:val="false"/>
                <w:i w:val="false"/>
                <w:color w:val="000000"/>
                <w:sz w:val="20"/>
              </w:rPr>
              <w:t>
Скорректированная стоимость обеспечения в виде гарантии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при привлечении через них внешних займов и размещении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банка, выданные в пользу субъектов, отнесенных к малому или среднему предпринимательству согласно </w:t>
            </w:r>
            <w:r>
              <w:rPr>
                <w:rFonts w:ascii="Times New Roman"/>
                <w:b w:val="false"/>
                <w:i w:val="false"/>
                <w:color w:val="000000"/>
                <w:sz w:val="20"/>
              </w:rPr>
              <w:t>статье 24</w:t>
            </w:r>
            <w:r>
              <w:rPr>
                <w:rFonts w:ascii="Times New Roman"/>
                <w:b w:val="false"/>
                <w:i w:val="false"/>
                <w:color w:val="000000"/>
                <w:sz w:val="20"/>
              </w:rPr>
              <w:t xml:space="preserve"> Предпринимательского кодекса Республики Казахстан, в обеспечение их обязательств перед третьими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31 декабря 2021 года включительно–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условных</w:t>
            </w:r>
            <w:r>
              <w:br/>
            </w:r>
            <w:r>
              <w:rPr>
                <w:rFonts w:ascii="Times New Roman"/>
                <w:b w:val="false"/>
                <w:i w:val="false"/>
                <w:color w:val="000000"/>
                <w:sz w:val="20"/>
              </w:rPr>
              <w:t>и возможных обязательств</w:t>
            </w:r>
            <w:r>
              <w:br/>
            </w:r>
            <w:r>
              <w:rPr>
                <w:rFonts w:ascii="Times New Roman"/>
                <w:b w:val="false"/>
                <w:i w:val="false"/>
                <w:color w:val="000000"/>
                <w:sz w:val="20"/>
              </w:rPr>
              <w:t>банка, взвешенных по степени</w:t>
            </w:r>
            <w:r>
              <w:br/>
            </w:r>
            <w:r>
              <w:rPr>
                <w:rFonts w:ascii="Times New Roman"/>
                <w:b w:val="false"/>
                <w:i w:val="false"/>
                <w:color w:val="000000"/>
                <w:sz w:val="20"/>
              </w:rPr>
              <w:t>кредитного риска</w:t>
            </w:r>
          </w:p>
        </w:tc>
      </w:tr>
    </w:tbl>
    <w:bookmarkStart w:name="z265" w:id="82"/>
    <w:p>
      <w:pPr>
        <w:spacing w:after="0"/>
        <w:ind w:left="0"/>
        <w:jc w:val="left"/>
      </w:pPr>
      <w:r>
        <w:rPr>
          <w:rFonts w:ascii="Times New Roman"/>
          <w:b/>
          <w:i w:val="false"/>
          <w:color w:val="000000"/>
        </w:rPr>
        <w:t xml:space="preserve"> Пояснения расчету условных и возможных обязательств банка, взвешенных по степени кредитного риска</w:t>
      </w:r>
    </w:p>
    <w:bookmarkEnd w:id="82"/>
    <w:bookmarkStart w:name="z266" w:id="83"/>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83"/>
    <w:bookmarkStart w:name="z267" w:id="84"/>
    <w:p>
      <w:pPr>
        <w:spacing w:after="0"/>
        <w:ind w:left="0"/>
        <w:jc w:val="both"/>
      </w:pPr>
      <w:r>
        <w:rPr>
          <w:rFonts w:ascii="Times New Roman"/>
          <w:b w:val="false"/>
          <w:i w:val="false"/>
          <w:color w:val="000000"/>
          <w:sz w:val="28"/>
        </w:rPr>
        <w:t>
      Гарантии, по которым у банка имеется обеспечение в виде безотзывной и безусловной гарантии банков-нерезидентов Республики Казахстан, имеющих долгосрочный долговой рейтинг не ниже "А-" агентства Standard &amp;Poor’s (Стандард энд Пурс), сумма которой покрывает не менее 50 (пятидесяти) процентов объема указанных гарантий, включаются в расчет активов, условных и возможных обязательств, взвешиваемых по степени кредитного риска с учетом коэффициента конверсии 100 (сто) процентов за минусом скорректированной стоимости обеспечения.</w:t>
      </w:r>
    </w:p>
    <w:bookmarkEnd w:id="84"/>
    <w:bookmarkStart w:name="z268" w:id="85"/>
    <w:p>
      <w:pPr>
        <w:spacing w:after="0"/>
        <w:ind w:left="0"/>
        <w:jc w:val="both"/>
      </w:pPr>
      <w:r>
        <w:rPr>
          <w:rFonts w:ascii="Times New Roman"/>
          <w:b w:val="false"/>
          <w:i w:val="false"/>
          <w:color w:val="000000"/>
          <w:sz w:val="28"/>
        </w:rPr>
        <w:t>
      Скорректированная стоимость обеспечения в виде гарантии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271" w:id="86"/>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 вклады в Евразийском Банке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акционерным обществом "Банк Развития Казахстана"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статье 24 Предпринимательского кодекса Республики Казахстан, обеспеченные безусловной и безотзывной гарантией акционерного общества "Фонд развития предпринимательства "ДАМУ" и (или) акционерного общества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80 и 81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80 и 81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77, 80 и 81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79, 80 и 81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79, 80 и 81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79, 80 и 81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статье 24</w:t>
            </w:r>
            <w:r>
              <w:rPr>
                <w:rFonts w:ascii="Times New Roman"/>
                <w:b w:val="false"/>
                <w:i w:val="false"/>
                <w:color w:val="000000"/>
                <w:sz w:val="20"/>
              </w:rPr>
              <w:t xml:space="preserve"> Предпринимательского кодекса Республики Казахстан, соответствующие следующим критериям:</w:t>
            </w:r>
          </w:p>
          <w:p>
            <w:pPr>
              <w:spacing w:after="20"/>
              <w:ind w:left="20"/>
              <w:jc w:val="both"/>
            </w:pPr>
            <w:r>
              <w:rPr>
                <w:rFonts w:ascii="Times New Roman"/>
                <w:b w:val="false"/>
                <w:i w:val="false"/>
                <w:color w:val="000000"/>
                <w:sz w:val="20"/>
              </w:rPr>
              <w:t>
1) сумма займа не превышает 500 (пятьсот) миллионов тенге или 0,2 (ноль целых две десятых)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2024 года по 31 декабря 2026 года – 50 с 1 января 2027 года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юридическим лицам в тенге в рамках синдицированного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2024 года по 31 декабря 2025 года включительно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0"/>
              </w:rPr>
              <w:t>статье 24</w:t>
            </w:r>
            <w:r>
              <w:rPr>
                <w:rFonts w:ascii="Times New Roman"/>
                <w:b w:val="false"/>
                <w:i w:val="false"/>
                <w:color w:val="000000"/>
                <w:sz w:val="20"/>
              </w:rPr>
              <w:t xml:space="preserve"> Предпринимательского кодекса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p>
            <w:pPr>
              <w:spacing w:after="20"/>
              <w:ind w:left="20"/>
              <w:jc w:val="both"/>
            </w:pPr>
            <w:r>
              <w:rPr>
                <w:rFonts w:ascii="Times New Roman"/>
                <w:b w:val="false"/>
                <w:i w:val="false"/>
                <w:color w:val="000000"/>
                <w:sz w:val="20"/>
              </w:rPr>
              <w:t>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 и акционерному обществу "Клиринговый центр KASE"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имеющим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в иностранной валюте на срок более 1 (одного) года организациям-резидентам Республики Казахстан, а также организациям-нерезидентам Республики Казахстан, имеющим долговой рейтинг не ниже "ВВ-" агентства Standard&amp;Poor's (Стандард энд Пурс) или рейтинг аналогичного уровня одного из других рейтинговых агентств, и соответствующие следующим критериям:</w:t>
            </w:r>
          </w:p>
          <w:p>
            <w:pPr>
              <w:spacing w:after="20"/>
              <w:ind w:left="20"/>
              <w:jc w:val="both"/>
            </w:pPr>
            <w:r>
              <w:rPr>
                <w:rFonts w:ascii="Times New Roman"/>
                <w:b w:val="false"/>
                <w:i w:val="false"/>
                <w:color w:val="000000"/>
                <w:sz w:val="20"/>
              </w:rPr>
              <w:t>
1) не менее 50 (процентов) займа обеспечено твердыми ликвидными залогами;</w:t>
            </w:r>
          </w:p>
          <w:p>
            <w:pPr>
              <w:spacing w:after="20"/>
              <w:ind w:left="20"/>
              <w:jc w:val="both"/>
            </w:pPr>
            <w:r>
              <w:rPr>
                <w:rFonts w:ascii="Times New Roman"/>
                <w:b w:val="false"/>
                <w:i w:val="false"/>
                <w:color w:val="000000"/>
                <w:sz w:val="20"/>
              </w:rPr>
              <w:t>
2) отношение долговых обязательств заемщика, включая внутригрупповые и внебалансовые обязательства, к прибыли до вычета расходов по выплате вознаграждений, налоговых отчислений и амортизации (EBITDA) (ЕБИТДА) по группе заемщика, не более 4, подтверждаемой финансовой отчетностью группы за последний финансовый год и (или) консолидированной управленческой отчетностью, представленной заемщиком и проверенной банком;</w:t>
            </w:r>
          </w:p>
          <w:p>
            <w:pPr>
              <w:spacing w:after="20"/>
              <w:ind w:left="20"/>
              <w:jc w:val="both"/>
            </w:pPr>
            <w:r>
              <w:rPr>
                <w:rFonts w:ascii="Times New Roman"/>
                <w:b w:val="false"/>
                <w:i w:val="false"/>
                <w:color w:val="000000"/>
                <w:sz w:val="20"/>
              </w:rPr>
              <w:t>
3) заемщик не имеет признаков ухудшения финансового состояния в соответствии с внутренними документами банка и внутренней методикой оценки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банковские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банковские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банковские займы, соответствующие одному из следующих критериев, рассчитываемых банком: 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1)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2) при ежемесячном мониторинге займов отсутствует информация для расчета, указанная в подпункте 1) настоящей строки.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потребительские займы, выданные после 1 июля 2025 года физическим лицам в сумме, превышающем 510 (пятьсот десять) месячных расчетных показателей, со сроком погашения более 3 (трех) лет, при отсутствии документально подтвержденного официального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выданные физическим лицам с 1 января 2016 года, в том числе потребительские банковские займы (за исключением ипотечных жилищных займов, займов физическим лицам, указанных в строке 80 настоящей таблицы и беззалоговых потребительских займов, указанных в приложении 5-1 к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494" w:id="87"/>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87"/>
    <w:bookmarkStart w:name="z495" w:id="88"/>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88"/>
    <w:bookmarkStart w:name="z496" w:id="89"/>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89"/>
    <w:bookmarkStart w:name="z497" w:id="90"/>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90"/>
    <w:bookmarkStart w:name="z498" w:id="91"/>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91"/>
    <w:bookmarkStart w:name="z499" w:id="92"/>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92"/>
    <w:bookmarkStart w:name="z500" w:id="93"/>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93"/>
    <w:bookmarkStart w:name="z501" w:id="94"/>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94"/>
    <w:bookmarkStart w:name="z502" w:id="95"/>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гарантии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 договора страхования.</w:t>
      </w:r>
    </w:p>
    <w:bookmarkEnd w:id="95"/>
    <w:bookmarkStart w:name="z503" w:id="96"/>
    <w:p>
      <w:pPr>
        <w:spacing w:after="0"/>
        <w:ind w:left="0"/>
        <w:jc w:val="both"/>
      </w:pPr>
      <w:r>
        <w:rPr>
          <w:rFonts w:ascii="Times New Roman"/>
          <w:b w:val="false"/>
          <w:i w:val="false"/>
          <w:color w:val="000000"/>
          <w:sz w:val="28"/>
        </w:rPr>
        <w:t>
      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96"/>
    <w:bookmarkStart w:name="z504" w:id="97"/>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97"/>
    <w:bookmarkStart w:name="z505" w:id="98"/>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98"/>
    <w:bookmarkStart w:name="z506" w:id="99"/>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99"/>
    <w:bookmarkStart w:name="z507" w:id="100"/>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100"/>
    <w:bookmarkStart w:name="z508" w:id="101"/>
    <w:p>
      <w:pPr>
        <w:spacing w:after="0"/>
        <w:ind w:left="0"/>
        <w:jc w:val="both"/>
      </w:pPr>
      <w:r>
        <w:rPr>
          <w:rFonts w:ascii="Times New Roman"/>
          <w:b w:val="false"/>
          <w:i w:val="false"/>
          <w:color w:val="000000"/>
          <w:sz w:val="28"/>
        </w:rPr>
        <w:t>
      3) являющимся гражданами офшорных зон;</w:t>
      </w:r>
    </w:p>
    <w:bookmarkEnd w:id="101"/>
    <w:bookmarkStart w:name="z509" w:id="102"/>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102"/>
    <w:bookmarkStart w:name="z510" w:id="103"/>
    <w:p>
      <w:pPr>
        <w:spacing w:after="0"/>
        <w:ind w:left="0"/>
        <w:jc w:val="both"/>
      </w:pPr>
      <w:r>
        <w:rPr>
          <w:rFonts w:ascii="Times New Roman"/>
          <w:b w:val="false"/>
          <w:i w:val="false"/>
          <w:color w:val="000000"/>
          <w:sz w:val="28"/>
        </w:rPr>
        <w:t>
      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103"/>
    <w:bookmarkStart w:name="z511" w:id="104"/>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долговой рейтинг не ниже "АА-"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104"/>
    <w:bookmarkStart w:name="z512" w:id="105"/>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105"/>
    <w:bookmarkStart w:name="z513" w:id="106"/>
    <w:p>
      <w:pPr>
        <w:spacing w:after="0"/>
        <w:ind w:left="0"/>
        <w:jc w:val="both"/>
      </w:pPr>
      <w:r>
        <w:rPr>
          <w:rFonts w:ascii="Times New Roman"/>
          <w:b w:val="false"/>
          <w:i w:val="false"/>
          <w:color w:val="000000"/>
          <w:sz w:val="28"/>
        </w:rPr>
        <w:t>
      взвешиваются по нулевой степени риска.</w:t>
      </w:r>
    </w:p>
    <w:bookmarkEnd w:id="106"/>
    <w:bookmarkStart w:name="z514" w:id="107"/>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107"/>
    <w:bookmarkStart w:name="z515" w:id="108"/>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108"/>
    <w:bookmarkStart w:name="z516" w:id="109"/>
    <w:p>
      <w:pPr>
        <w:spacing w:after="0"/>
        <w:ind w:left="0"/>
        <w:jc w:val="both"/>
      </w:pPr>
      <w:r>
        <w:rPr>
          <w:rFonts w:ascii="Times New Roman"/>
          <w:b w:val="false"/>
          <w:i w:val="false"/>
          <w:color w:val="000000"/>
          <w:sz w:val="28"/>
        </w:rPr>
        <w:t>
      под потребительским банковским займом понимается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109"/>
    <w:bookmarkStart w:name="z517" w:id="110"/>
    <w:p>
      <w:pPr>
        <w:spacing w:after="0"/>
        <w:ind w:left="0"/>
        <w:jc w:val="both"/>
      </w:pPr>
      <w:r>
        <w:rPr>
          <w:rFonts w:ascii="Times New Roman"/>
          <w:b w:val="false"/>
          <w:i w:val="false"/>
          <w:color w:val="000000"/>
          <w:sz w:val="28"/>
        </w:rPr>
        <w:t>
      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110"/>
    <w:bookmarkStart w:name="z518" w:id="111"/>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111"/>
    <w:bookmarkStart w:name="z519" w:id="112"/>
    <w:p>
      <w:pPr>
        <w:spacing w:after="0"/>
        <w:ind w:left="0"/>
        <w:jc w:val="both"/>
      </w:pPr>
      <w:r>
        <w:rPr>
          <w:rFonts w:ascii="Times New Roman"/>
          <w:b w:val="false"/>
          <w:i w:val="false"/>
          <w:color w:val="000000"/>
          <w:sz w:val="28"/>
        </w:rPr>
        <w:t>
      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Standard &amp; Poor's (Стандард энд Пурс) 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bookmarkEnd w:id="112"/>
    <w:bookmarkStart w:name="z520" w:id="113"/>
    <w:p>
      <w:pPr>
        <w:spacing w:after="0"/>
        <w:ind w:left="0"/>
        <w:jc w:val="both"/>
      </w:pPr>
      <w:r>
        <w:rPr>
          <w:rFonts w:ascii="Times New Roman"/>
          <w:b w:val="false"/>
          <w:i w:val="false"/>
          <w:color w:val="000000"/>
          <w:sz w:val="28"/>
        </w:rPr>
        <w:t xml:space="preserve">
      10.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5-1 к Нормативам (далее – Значения) снижается в два раза, если в отношении такого займа заемщиком - физическим лицом осуществляется выполнение плана реабилитации, составленного в соответствии с пунктом 19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июля 2017 года № 136 (зарегистрированным в Реестре государственной регистрации нормативных правовых актов под № 15541).</w:t>
      </w:r>
    </w:p>
    <w:bookmarkEnd w:id="113"/>
    <w:bookmarkStart w:name="z521" w:id="114"/>
    <w:p>
      <w:pPr>
        <w:spacing w:after="0"/>
        <w:ind w:left="0"/>
        <w:jc w:val="both"/>
      </w:pPr>
      <w:r>
        <w:rPr>
          <w:rFonts w:ascii="Times New Roman"/>
          <w:b w:val="false"/>
          <w:i w:val="false"/>
          <w:color w:val="000000"/>
          <w:sz w:val="28"/>
        </w:rPr>
        <w:t>
      В случае неисполнения заемщиком-физическим лицом плана реабилитации, указанного в части первой настоящего пункта, заем взвешивается по степени кредитного риска согласно Таблице или Значениям.</w:t>
      </w:r>
    </w:p>
    <w:bookmarkEnd w:id="114"/>
    <w:bookmarkStart w:name="z522" w:id="115"/>
    <w:p>
      <w:pPr>
        <w:spacing w:after="0"/>
        <w:ind w:left="0"/>
        <w:jc w:val="both"/>
      </w:pPr>
      <w:r>
        <w:rPr>
          <w:rFonts w:ascii="Times New Roman"/>
          <w:b w:val="false"/>
          <w:i w:val="false"/>
          <w:color w:val="000000"/>
          <w:sz w:val="28"/>
        </w:rPr>
        <w:t>
      11.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15"/>
    <w:bookmarkStart w:name="z523" w:id="116"/>
    <w:p>
      <w:pPr>
        <w:spacing w:after="0"/>
        <w:ind w:left="0"/>
        <w:jc w:val="both"/>
      </w:pPr>
      <w:r>
        <w:rPr>
          <w:rFonts w:ascii="Times New Roman"/>
          <w:b w:val="false"/>
          <w:i w:val="false"/>
          <w:color w:val="000000"/>
          <w:sz w:val="28"/>
        </w:rPr>
        <w:t xml:space="preserve">
      12. Займы, предоставленные субъектам, отнесенным к малому или среднему предпринимательству согласно </w:t>
      </w:r>
      <w:r>
        <w:rPr>
          <w:rFonts w:ascii="Times New Roman"/>
          <w:b w:val="false"/>
          <w:i w:val="false"/>
          <w:color w:val="000000"/>
          <w:sz w:val="28"/>
        </w:rPr>
        <w:t>статье 24</w:t>
      </w:r>
      <w:r>
        <w:rPr>
          <w:rFonts w:ascii="Times New Roman"/>
          <w:b w:val="false"/>
          <w:i w:val="false"/>
          <w:color w:val="000000"/>
          <w:sz w:val="28"/>
        </w:rPr>
        <w:t xml:space="preserve"> Предпринимательского кодекса Республики Казахстан, по которым у банка имеется обеспечение в виде безотзывной и безусловной гарантии общества "Фонд развития предпринимательства "ДАМУ" и (или) акционерного общества "Банк Развития Казахстана" включаются в расчет активов, взвешенных по степени риска следующим образом: в отношении части займа обеспеченной безотзывной и безусловной гарантии общества "Фонд развития предпринимательства "ДАМУ" и (или) акционерного общества "Банк Развития Казахстана" применятся коэффициент степени риска в 25 процентов, а необеспеченная часть займа взвешивается согласно Таблице, по степени риска, соответствующего контрагенту банка.</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деятельности финансовых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526" w:id="117"/>
    <w:p>
      <w:pPr>
        <w:spacing w:after="0"/>
        <w:ind w:left="0"/>
        <w:jc w:val="left"/>
      </w:pPr>
      <w:r>
        <w:rPr>
          <w:rFonts w:ascii="Times New Roman"/>
          <w:b/>
          <w:i w:val="false"/>
          <w:color w:val="000000"/>
        </w:rPr>
        <w:t xml:space="preserve"> Таблица условных и возможных обязательств банка, взвешенных по степени кредитного риска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"AA-"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"AA-"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по которым у банка имеется обеспечение в виде безотзывной и безусловной гарантии банков-нерезидентов Республики Казахстан, имеющих долгосрочный долговой рейтинг не ниже "А-" агентства Standard &amp;Poor’s (Стандард энд Пурс), сумма которой покрывает не менее 50 (пятидесяти) процентов объема указанных гарантий, включаются в расчет активов, условных и возможных обязательств, взвешиваемых по степени кредитного риска с учетом коэффициента конверсии 100 (сто) процентов за минусом скорректированной стоимости обеспечения.</w:t>
            </w:r>
          </w:p>
          <w:p>
            <w:pPr>
              <w:spacing w:after="20"/>
              <w:ind w:left="20"/>
              <w:jc w:val="both"/>
            </w:pPr>
            <w:r>
              <w:rPr>
                <w:rFonts w:ascii="Times New Roman"/>
                <w:b w:val="false"/>
                <w:i w:val="false"/>
                <w:color w:val="000000"/>
                <w:sz w:val="20"/>
              </w:rPr>
              <w:t>
Скорректированная стоимость обеспечения в виде гарантии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"AA-"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21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"AA-"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"AA-"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при привлечении через них внешних займов и размещении долговых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"A-" до "AA-"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"A-" до "AA-"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"A-" до "AA-"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"AA-"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"A-" до "AA-" агентства Standard &amp; Poor's или рейтинг аналогичного уровня одного из других рейтинговых агентств; ценными бумагами банков, имеющих долговой рейтинг на уровне "AA-"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"AAA" до "AA-"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"A-"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"A-" до "AA-"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"AA-"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"A-" агентства Standard &amp; Poor's или рейтинг аналогичного уровня одного из других рейтинговых агентств; ценными бумагами банков, имеющих долговой рейтинг от "A-" до "AA-"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"AA-"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банка, выданные в пользу субъектов, отнесенных к малому или среднему предпринимательству согласно </w:t>
            </w:r>
            <w:r>
              <w:rPr>
                <w:rFonts w:ascii="Times New Roman"/>
                <w:b w:val="false"/>
                <w:i w:val="false"/>
                <w:color w:val="000000"/>
                <w:sz w:val="20"/>
              </w:rPr>
              <w:t>статье 24</w:t>
            </w:r>
            <w:r>
              <w:rPr>
                <w:rFonts w:ascii="Times New Roman"/>
                <w:b w:val="false"/>
                <w:i w:val="false"/>
                <w:color w:val="000000"/>
                <w:sz w:val="20"/>
              </w:rPr>
              <w:t xml:space="preserve"> Предпринимательского кодекса Республики Казахстан, в обеспечение их обязательств перед третьими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31 декабря 2021 года включительно–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"A-"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"A-" до "AA-"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"AA-"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"A-" агентства Standard &amp; Poor's или рейтинг аналогичного уровня одного из других рейтинговых агентств; ценными бумагами банков, имеющих долговой рейтинг от "A-" до "AA-"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"AA-"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Aкционерного общества "Казахстанская ипотечная компания" прав требований по ипотечным жилищным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"A+" до "A-"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Таблице</w:t>
            </w:r>
            <w:r>
              <w:br/>
            </w:r>
            <w:r>
              <w:rPr>
                <w:rFonts w:ascii="Times New Roman"/>
                <w:b w:val="false"/>
                <w:i w:val="false"/>
                <w:color w:val="000000"/>
                <w:sz w:val="20"/>
              </w:rPr>
              <w:t>условных и возможных</w:t>
            </w:r>
            <w:r>
              <w:br/>
            </w:r>
            <w:r>
              <w:rPr>
                <w:rFonts w:ascii="Times New Roman"/>
                <w:b w:val="false"/>
                <w:i w:val="false"/>
                <w:color w:val="000000"/>
                <w:sz w:val="20"/>
              </w:rPr>
              <w:t>обязательств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w:t>
            </w:r>
          </w:p>
        </w:tc>
      </w:tr>
    </w:tbl>
    <w:bookmarkStart w:name="z529" w:id="118"/>
    <w:p>
      <w:pPr>
        <w:spacing w:after="0"/>
        <w:ind w:left="0"/>
        <w:jc w:val="left"/>
      </w:pPr>
      <w:r>
        <w:rPr>
          <w:rFonts w:ascii="Times New Roman"/>
          <w:b/>
          <w:i w:val="false"/>
          <w:color w:val="000000"/>
        </w:rPr>
        <w:t xml:space="preserve"> Пояснения к расчету условных и возможных обязательств банка, взвешенных по степени кредитного риска</w:t>
      </w:r>
    </w:p>
    <w:bookmarkEnd w:id="118"/>
    <w:bookmarkStart w:name="z530" w:id="119"/>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19"/>
    <w:bookmarkStart w:name="z531" w:id="120"/>
    <w:p>
      <w:pPr>
        <w:spacing w:after="0"/>
        <w:ind w:left="0"/>
        <w:jc w:val="both"/>
      </w:pPr>
      <w:r>
        <w:rPr>
          <w:rFonts w:ascii="Times New Roman"/>
          <w:b w:val="false"/>
          <w:i w:val="false"/>
          <w:color w:val="000000"/>
          <w:sz w:val="28"/>
        </w:rPr>
        <w:t>
      Гарантии, по которым у банка имеется обеспечение в виде безотзывной и безусловной гарантии банков-нерезидентов Республики Казахстан, имеющих долгосрочный долговой рейтинг не ниже "А-" агентства Standard &amp;Poor’s (Стандард энд Пурс), сумма которой покрывает не менее 50 (пятидесяти) процентов объема указанных гарантий, включаются в расчет активов, условных и возможных обязательств, взвешиваемых по степени кредитного риска с учетом коэффициента конверсии 100 (сто) процентов за минусом скорректированной стоимости обеспечения.</w:t>
      </w:r>
    </w:p>
    <w:bookmarkEnd w:id="120"/>
    <w:bookmarkStart w:name="z532" w:id="121"/>
    <w:p>
      <w:pPr>
        <w:spacing w:after="0"/>
        <w:ind w:left="0"/>
        <w:jc w:val="both"/>
      </w:pPr>
      <w:r>
        <w:rPr>
          <w:rFonts w:ascii="Times New Roman"/>
          <w:b w:val="false"/>
          <w:i w:val="false"/>
          <w:color w:val="000000"/>
          <w:sz w:val="28"/>
        </w:rPr>
        <w:t>
      Скорректированная стоимость обеспечения в виде гарантии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