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72c5f3" w14:textId="672c5f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некоторых вопросах сбора, распределения и выплаты вознаграждения за воспроизведение произведения в личных целях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юстиции Республики Казахстан от 29 января 2026 года № 99. Зарегистрирован в Министерстве юстиции Республики Казахстан 29 января 2026 года № 37917.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26 Закона Республики Казахстан "Об авторском праве и смежных правах"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Правила сбора, распределения и выплаты вознаграждения за воспроизведение произведения в личных целях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размер вознаграждения за воспроизведение произведения в личных целях и без получения дохода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правам интеллектуальной собственности Министерства юстиции Республики Казахстан обеспечить: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юстиции Республики Казахстан после его первого официального опубликования.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юстиции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юстиции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Сарсембаев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января 2026 года № 99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сбора, распределения и выплаты вознаграждения за воспроизведение произведения в личных целях</w:t>
      </w:r>
    </w:p>
    <w:bookmarkEnd w:id="9"/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Правила сбора, распределения и выплаты вознаграждения за воспроизведение произведения в личных целях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26 Закона Республики Казахстан "Об авторском праве и смежных правах" (далее – Закон) и определяют порядок сбора, распределения и выплаты вознаграждения за воспроизведение произведения в личных целях без согласия автора, исполнителя и производителя фонограммы с выплатой вознаграждения.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Правилах используются понятия,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статьей 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а также следующие понятия: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единая цифровая платформа в сфере коллективного управления правами (далее – единая цифровая платформа) – цифровая система экспертной организации, предоставляющая единую точку доступа к использованию в сфере коллективного управления правами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уполномоченный орган – государственный орган, определяемый Правительством Республики Казахстан и осуществляющий государственное регулирование в области авторского права и смежных прав;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экспертная организация – организация, созданная по решению Правительства Республики Казахстан в организационно-правовой форме республиканского государственного предприятия на праве хозяйственного ведения, подведомственная в своей деятельности уполномоченному органу согласно </w:t>
      </w:r>
      <w:r>
        <w:rPr>
          <w:rFonts w:ascii="Times New Roman"/>
          <w:b w:val="false"/>
          <w:i w:val="false"/>
          <w:color w:val="000000"/>
          <w:sz w:val="28"/>
        </w:rPr>
        <w:t>Закону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личный кабинет субъекта единой цифровой платформы (далее – личный кабинет) – электронный кабинет субъекта единой цифровой платформы, предназначенный для взаимодействия с единой цифровой платформой и другими субъектами, а также выполнения иных действий,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 Правилами;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персональные данные – сведения, относящиеся к определенному или определяемому на их основании субъекту персональных данных, зафиксированные на электронном, бумажном и (или) ином материальном носителе.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Экспертная организация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осуществляет сбор и распределение вознаграждения за воспроизведение произведения в личных целях без согласия автора, исполнителя и производителя фонограммы (далее – вознаграждение), а также его выплату организациям по коллективному управлению правами (далее – ОКУП).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Такое вознаграждение выплачивается лицами, изготавливающими (далее – изготовитель) или импортирующими (далее – импортер) оборудование и материальные носители, используемые для воспроизведения произведения (далее – оборудование и материальные носители) в личных целях без согласия автора, исполнителя и производителя фонограммы в размере, установленном уполномоченным органом.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Для целей сбора, распределения и выплаты вознаграждения экспертная организация открывает в банке счет для сбора, распределения, выплаты и хранения вознаграждения и счет для осуществления своей деятельности, и покрытия фактических расходов.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Экспертная организация обеспечивает доступ изготовителям и импортерам оборудования и материальных носителей к единой цифровой платформе, включая доступ к личным кабинетам.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личном кабинете содержатся сведения об изготовителе или импортере оборудования и материальных носителей, включая их наименование, индивидуальный идентификационный номер физического лица, бизнес-идентификационный номер юридического лица, адрес регистрации, юридический и фактический адреса, контактная информация (телефон, адрес электронной почты), банковские реквизиты и иные сведения, необходимые для надлежащего функционирования единой цифровой платформы.</w:t>
      </w:r>
    </w:p>
    <w:bookmarkEnd w:id="22"/>
    <w:bookmarkStart w:name="z29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сбора, распределения и выплаты вознаграждения</w:t>
      </w:r>
    </w:p>
    <w:bookmarkEnd w:id="23"/>
    <w:bookmarkStart w:name="z30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Сбор вознаграждения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Экспертная организация осуществляет сбор вознаграждения с изготовителей или импортеров оборудования и материальных носителей, перечень которых утвержден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17 марта 2015 года № 159 "Об утверждении перечня оборудования и материальных носителей, используемых для воспроизведения аудиовизуальных произведений или звукозаписей произведений в личных целях и без получения дохода" (зарегистрирован в Реестре государственной регистрации нормативных правовых актов под № 10639) за исключением оборудования и материальных носителей,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26 Закона.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Для осуществления сбора вознаграждения, предусмотренного статьей 26 Закона, экспертная организация получает сведения об изготовителях и импортерах оборудования и материальных носителей от государственных органов (организаций) и иных юридических лиц, а также из иных открытых источников.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Для этих целей экспертная организация: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направляет изготовителям или импортерам оборудования и материальных носителей уведомление о выплате вознаграждения за воспроизведение произведения в личных целях без согласия автора, исполнителя и производителя фонограммы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счет на оплату;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заключает посредством единой цифровой платформы договор с ОКУП о выплате вознаграждения, в котором содержатся сведения для заполнения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 даты направления экспертной организацией уведомления изготовителям или импортерам по адресам, указанным в сведениях, предусмотренных в пункте 9 настоящих Правил, уведомление считается доставленным (полученным).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Выплата вознаграждения осуществляется изготовителем или импортером в безналичной форме путем перечисления денежных средств на счет экспертной организации для сбора, распределения, выплаты и хранения вознаграждения в течение десяти рабочих дней с даты направления экспертной организацией уведомления о выплате вознаграждения и выставления счета на оплату.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случае наличия у изготовителя или импортера сведений, подтверждающих сумму реализации или таможенной стоимости оборудования и материальных носителей, отличную от суммы, указанной в уведомлении экспертной организации, изготовитель или импортер в течение десяти рабочих дней со дня доставки (получения) уведомления представляет такие сведения в адрес экспертной организации с приложением подтверждающих документов.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Экспертная организация в течение десяти рабочих дней со дня получения таких сведений принимает одно из следующих решений: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корректировке начисления;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 отказе с указанием причин.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Выплата вознаграждения осуществляется изготовителем или импортером в безналичной форме путем перечисления денежных средств на счет экспертной организации для сбора, распределения, выплаты и хранения вознаграждения в течение десяти рабочих дней с даты выставления экспертной организацией счета на оплату с учетом корректировки начисления.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Изготовитель или импортер по собственной инициативе (без уведомления экспертной организации) для выплаты вознаграждения направляет экспертной организации сведения о реализованных и ввезенных оборудовании и материальных носителях.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случаях, предусмотренных в пункте 13 настоящих Правил, сведения импортера должны содержать следующее: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декларацию на товары;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оборудования и материальных носителей;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количество ввезенных оборудования и материальных носителей;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таможенную стоимость оборудования и материальных носителей;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сведения о соответствующих кодах Товарной номенклатуры внешнеэкономической деятельности Таможенного союза.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случаях, предусмотренных в пункте 12 настоящих Правил, сведения изготовителя должны содержать следующее: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оборудования и материальных носителей;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количество изготовленных и реализованных оборудования и материальных носителей;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цену реализации единицы оборудования и материальных носителей;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 соответствующих кодах Товарной номенклатуры внешнеэкономической деятельности Таможенного союза (при наличии применимости к товару) либо иные идентифицирующие признаки продукции, предусмотренные перечнем.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Экспертная организация в течение пятнадцати рабочих дней со дня получения сведений от изготовителя или импортера, указанных в пунктах 15 и 16 настоящих Правил, проверяет полноту представленных сведений и документов и направляет уведомление о выплате вознаграждения соответствующему изготовителю или импортеру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случае выявления неполноты либо несоответствия сведений от изготовителя или импортера, указанных в пунктах 15 и 16 настоящих Правил, экспертная организация направляет изготовителям или импортерам уведомление о выплате вознаграждения и счет на его оплату с учетом таких сведений.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После направления уведомления, указанного в пункте 20 настоящих Правил, последующие действия, включая представление уточняющих сведений, перерасчет суммы вознаграждения, сроки и порядок его уплаты, осуществляются в соответствии с пунктами 11, 12, 13 и 14 настоящих Правил.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Выплата вознаграждения осуществляется изготовителем или импортером в безналичной форме путем перечисления денежных средств на счет экспертной организации для сбора, распределения, выплаты и хранения вознаграждения в течение десяти рабочих дней со дня доставки (получения) уведомления о выплате вознаграждения и счета на его оплату.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Экспертная организация ежеквартально не позднее 25 числа месяца, следующего за отчетным периодом, предоставляет изготовителям или импортерам акты выполненных работ по сбору, распределению и выплате вознаграждения и электронные счета-фактуры на сумму фактических расходов экспертной организации по сбору, распределению и выплате вознаграждения.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Экспертная организация ежеквартально размещает сведения о собранном вознаграждении на единой цифровой платформе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Суммы вознаграждения (денежные средства), поступающие на счет экспертной организации для сбора, распределения, выплаты и хранения вознаграждения экспертной организации, не являются собственными средствами экспертной организации, не образуют ее доход и учитываются как средства, подлежащие перечислению ОКУП.</w:t>
      </w:r>
    </w:p>
    <w:bookmarkEnd w:id="55"/>
    <w:bookmarkStart w:name="z62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Распределение вознаграждения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Распределение собранного вознаграждения осуществляется экспертной организацией посредством единой цифровой платформы между ОКУП ежеквартально не позднее 25 числа месяца, следующего за отчетным периодом.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Экспертная организация вычитает из собранного вознаграждения суммы на покрытие фактических расходов по сбору, распределению и выплате такого вознаграждения, но не более двадцати пяти процентов от общей суммы собранного вознаграждения и направляет их на счет экспертной организации для осуществления своей деятельности и покрытия фактических расходов.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ОКУП вычитает из суммы, подлежащей к выплате ей вознаграждения, суммы на покрытие фактических расходов, но не более пяти процентов от суммы, подлежащей к выплате ей вознаграждения, рассчитываемой согласно подпункту 4) пункта 30 настоящих Правил.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Распределение вознаграждения осуществляется посредством единой цифровой платформы на основании следующих сведений: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суммы собранного вознаграждения отчетный период;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суммы на покрытие фактических расходов экспертной организации;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суммы на покрытие фактических расходов ОКУП;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из отчетов об использовании произведений телерадиокомпаний, сформированных на единой цифровой платформе;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размещенных в реестрах единой цифровой платформы.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Экспертная организация осуществляет распределение собранного вознаграждения посредством единой цифровой платформы между ОКУП с учетом следующих критериев: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пропорционально количеству использований (ротаций) каждого произведения, указанного в отчете об использовании телерадиокомпаний, сформированного на единой цифровой платформе, по следующим формулам: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8"/>
    <w:p>
      <w:pPr>
        <w:spacing w:after="0"/>
        <w:ind w:left="0"/>
        <w:jc w:val="both"/>
      </w:pPr>
      <w:r>
        <w:drawing>
          <wp:inline distT="0" distB="0" distL="0" distR="0">
            <wp:extent cx="2514600" cy="406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9"/>
    <w:p>
      <w:pPr>
        <w:spacing w:after="0"/>
        <w:ind w:left="0"/>
        <w:jc w:val="both"/>
      </w:pPr>
      <w:r>
        <w:drawing>
          <wp:inline distT="0" distB="0" distL="0" distR="0">
            <wp:extent cx="36068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068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0"/>
    <w:p>
      <w:pPr>
        <w:spacing w:after="0"/>
        <w:ind w:left="0"/>
        <w:jc w:val="both"/>
      </w:pPr>
      <w:r>
        <w:drawing>
          <wp:inline distT="0" distB="0" distL="0" distR="0">
            <wp:extent cx="2311400" cy="444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2"/>
    <w:p>
      <w:pPr>
        <w:spacing w:after="0"/>
        <w:ind w:left="0"/>
        <w:jc w:val="both"/>
      </w:pPr>
      <w:r>
        <w:drawing>
          <wp:inline distT="0" distB="0" distL="0" distR="0">
            <wp:extent cx="5969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часть распределяемого вознаграждения, сформированная за счет вознаграждения, собранного в отчетном периоде, за вычетом фактических расходов экспертной организации;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3"/>
    <w:p>
      <w:pPr>
        <w:spacing w:after="0"/>
        <w:ind w:left="0"/>
        <w:jc w:val="both"/>
      </w:pPr>
      <w:r>
        <w:drawing>
          <wp:inline distT="0" distB="0" distL="0" distR="0">
            <wp:extent cx="685800" cy="29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сумма собранного вознаграждения за отчетный период;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4"/>
    <w:p>
      <w:pPr>
        <w:spacing w:after="0"/>
        <w:ind w:left="0"/>
        <w:jc w:val="both"/>
      </w:pPr>
      <w:r>
        <w:drawing>
          <wp:inline distT="0" distB="0" distL="0" distR="0">
            <wp:extent cx="2794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сумма фактических расходов экспертной организации, подлежащая вычету из суммы собранного вознаграждения за отчетный период;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5"/>
    <w:p>
      <w:pPr>
        <w:spacing w:after="0"/>
        <w:ind w:left="0"/>
        <w:jc w:val="both"/>
      </w:pPr>
      <w:r>
        <w:drawing>
          <wp:inline distT="0" distB="0" distL="0" distR="0">
            <wp:extent cx="571500" cy="36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фактические расходы экспертной организации;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6"/>
    <w:p>
      <w:pPr>
        <w:spacing w:after="0"/>
        <w:ind w:left="0"/>
        <w:jc w:val="both"/>
      </w:pPr>
      <w:r>
        <w:drawing>
          <wp:inline distT="0" distB="0" distL="0" distR="0">
            <wp:extent cx="304800" cy="25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общая сумма вознаграждения, подлежащая распределению в отчетном периоде, включающая часть текущего сбора после вычета расходов экспертной организации и сумму ранее нераспределенного вознаграждения;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7"/>
    <w:p>
      <w:pPr>
        <w:spacing w:after="0"/>
        <w:ind w:left="0"/>
        <w:jc w:val="both"/>
      </w:pPr>
      <w:r>
        <w:drawing>
          <wp:inline distT="0" distB="0" distL="0" distR="0">
            <wp:extent cx="5842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сумма, ранее учтенная как нераспределенная, но подлежащая распределению в текущем периоде.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8"/>
    <w:p>
      <w:pPr>
        <w:spacing w:after="0"/>
        <w:ind w:left="0"/>
        <w:jc w:val="both"/>
      </w:pPr>
      <w:r>
        <w:drawing>
          <wp:inline distT="0" distB="0" distL="0" distR="0">
            <wp:extent cx="2425700" cy="48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0"/>
    <w:p>
      <w:pPr>
        <w:spacing w:after="0"/>
        <w:ind w:left="0"/>
        <w:jc w:val="both"/>
      </w:pPr>
      <w:r>
        <w:drawing>
          <wp:inline distT="0" distB="0" distL="0" distR="0">
            <wp:extent cx="7747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сумма вознаграждения на конкретное произведение;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1"/>
    <w:p>
      <w:pPr>
        <w:spacing w:after="0"/>
        <w:ind w:left="0"/>
        <w:jc w:val="both"/>
      </w:pPr>
      <w:r>
        <w:drawing>
          <wp:inline distT="0" distB="0" distL="0" distR="0">
            <wp:extent cx="812800" cy="34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количество использований (ротаций) конкретного произведения;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2"/>
    <w:p>
      <w:pPr>
        <w:spacing w:after="0"/>
        <w:ind w:left="0"/>
        <w:jc w:val="both"/>
      </w:pPr>
      <w:r>
        <w:drawing>
          <wp:inline distT="0" distB="0" distL="0" distR="0">
            <wp:extent cx="355600" cy="31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общее количество использований (ротаций) всех произведений;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3"/>
    <w:p>
      <w:pPr>
        <w:spacing w:after="0"/>
        <w:ind w:left="0"/>
        <w:jc w:val="both"/>
      </w:pPr>
      <w:r>
        <w:drawing>
          <wp:inline distT="0" distB="0" distL="0" distR="0">
            <wp:extent cx="304800" cy="25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общая сумма вознаграждения, подлежащая распределению.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пропорции, установленной пунктом 4 статьи 26 Закона, без возможности изменения или перераспределения долей между категориями: сорок процентов – авторам; тридцать процентов – исполнителям; тридцать процентов – производителям фонограммы по следующей формуле: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5"/>
    <w:p>
      <w:pPr>
        <w:spacing w:after="0"/>
        <w:ind w:left="0"/>
        <w:jc w:val="both"/>
      </w:pPr>
      <w:r>
        <w:drawing>
          <wp:inline distT="0" distB="0" distL="0" distR="0">
            <wp:extent cx="3898900" cy="48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989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7"/>
    <w:p>
      <w:pPr>
        <w:spacing w:after="0"/>
        <w:ind w:left="0"/>
        <w:jc w:val="both"/>
      </w:pPr>
      <w:r>
        <w:drawing>
          <wp:inline distT="0" distB="0" distL="0" distR="0">
            <wp:extent cx="1485900" cy="31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сумма вознаграждения по произведению для соответствующей категории правообладателей (авторы/исполнители /производители) в отношении одного произведения;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8"/>
    <w:p>
      <w:pPr>
        <w:spacing w:after="0"/>
        <w:ind w:left="0"/>
        <w:jc w:val="both"/>
      </w:pPr>
      <w:r>
        <w:drawing>
          <wp:inline distT="0" distB="0" distL="0" distR="0">
            <wp:extent cx="749300" cy="29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сумма вознаграждения, приходящаяся на произведение;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9"/>
    <w:p>
      <w:pPr>
        <w:spacing w:after="0"/>
        <w:ind w:left="0"/>
        <w:jc w:val="both"/>
      </w:pPr>
      <w:r>
        <w:drawing>
          <wp:inline distT="0" distB="0" distL="0" distR="0">
            <wp:extent cx="889000" cy="31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доля категории правообладателя (0,4/0,3/0,3).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разрезе каждой ОКУП по следующей формуле: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1"/>
    <w:p>
      <w:pPr>
        <w:spacing w:after="0"/>
        <w:ind w:left="0"/>
        <w:jc w:val="both"/>
      </w:pPr>
      <w:r>
        <w:drawing>
          <wp:inline distT="0" distB="0" distL="0" distR="0">
            <wp:extent cx="2921000" cy="406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210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CОКУП – сумма вознаграждения, подлежащая выплате конкретной ОКУП;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</w:t>
      </w:r>
      <w:r>
        <w:rPr>
          <w:rFonts w:ascii="Times New Roman"/>
          <w:b w:val="false"/>
          <w:i w:val="false"/>
          <w:color w:val="000000"/>
          <w:vertAlign w:val="subscript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>,V</w:t>
      </w:r>
      <w:r>
        <w:rPr>
          <w:rFonts w:ascii="Times New Roman"/>
          <w:b w:val="false"/>
          <w:i w:val="false"/>
          <w:color w:val="000000"/>
          <w:vertAlign w:val="sub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,…V</w:t>
      </w:r>
      <w:r>
        <w:rPr>
          <w:rFonts w:ascii="Times New Roman"/>
          <w:b w:val="false"/>
          <w:i w:val="false"/>
          <w:color w:val="000000"/>
          <w:vertAlign w:val="subscript"/>
        </w:rPr>
        <w:t>n</w:t>
      </w:r>
      <w:r>
        <w:rPr>
          <w:rFonts w:ascii="Times New Roman"/>
          <w:b w:val="false"/>
          <w:i w:val="false"/>
          <w:color w:val="000000"/>
          <w:sz w:val="28"/>
        </w:rPr>
        <w:t xml:space="preserve"> – cуммы вознаграждения, рассчитанные для каждого произведения, находящегося в управлении соответствующей ОКУП.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расчет фактических расходов конкретной ОКУП осуществляется по следующим формулам: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6"/>
    <w:p>
      <w:pPr>
        <w:spacing w:after="0"/>
        <w:ind w:left="0"/>
        <w:jc w:val="both"/>
      </w:pPr>
      <w:r>
        <w:drawing>
          <wp:inline distT="0" distB="0" distL="0" distR="0">
            <wp:extent cx="2895600" cy="52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8"/>
    <w:p>
      <w:pPr>
        <w:spacing w:after="0"/>
        <w:ind w:left="0"/>
        <w:jc w:val="both"/>
      </w:pPr>
      <w:r>
        <w:drawing>
          <wp:inline distT="0" distB="0" distL="0" distR="0">
            <wp:extent cx="749300" cy="36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сумма вознаграждения, приходящаяся на конкретное произведение за счет вознаграждения, собранного в отчетном периоде (без учета ранее нераспределенных сумм);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9"/>
    <w:p>
      <w:pPr>
        <w:spacing w:after="0"/>
        <w:ind w:left="0"/>
        <w:jc w:val="both"/>
      </w:pPr>
      <w:r>
        <w:drawing>
          <wp:inline distT="0" distB="0" distL="0" distR="0">
            <wp:extent cx="8128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количество использований (ротаций) конкретного произведения;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0"/>
    <w:p>
      <w:pPr>
        <w:spacing w:after="0"/>
        <w:ind w:left="0"/>
        <w:jc w:val="both"/>
      </w:pPr>
      <w:r>
        <w:drawing>
          <wp:inline distT="0" distB="0" distL="0" distR="0">
            <wp:extent cx="342900" cy="26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общее количество использований (ротаций) всех произведений;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1"/>
    <w:p>
      <w:pPr>
        <w:spacing w:after="0"/>
        <w:ind w:left="0"/>
        <w:jc w:val="both"/>
      </w:pPr>
      <w:r>
        <w:drawing>
          <wp:inline distT="0" distB="0" distL="0" distR="0">
            <wp:extent cx="571500" cy="26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часть распределяемого вознаграждения, сформированная за счет вознаграждения, собранного в отчетном периоде, за вычетом фактических расходов экспертной организации.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2"/>
    <w:p>
      <w:pPr>
        <w:spacing w:after="0"/>
        <w:ind w:left="0"/>
        <w:jc w:val="both"/>
      </w:pPr>
      <w:r>
        <w:drawing>
          <wp:inline distT="0" distB="0" distL="0" distR="0">
            <wp:extent cx="2628900" cy="584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58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4"/>
    <w:p>
      <w:pPr>
        <w:spacing w:after="0"/>
        <w:ind w:left="0"/>
        <w:jc w:val="both"/>
      </w:pPr>
      <w:r>
        <w:drawing>
          <wp:inline distT="0" distB="0" distL="0" distR="0">
            <wp:extent cx="622300" cy="31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сумма вознаграждения, приходящаяся на конкретную ОКУП за счет вознаграждения, собранного в отчетном периоде (без учета ранее нераспределенных сумм);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5"/>
    <w:p>
      <w:pPr>
        <w:spacing w:after="0"/>
        <w:ind w:left="0"/>
        <w:jc w:val="both"/>
      </w:pPr>
      <w:r>
        <w:drawing>
          <wp:inline distT="0" distB="0" distL="0" distR="0">
            <wp:extent cx="685800" cy="26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общее количество использований (ротаций) всех произведений, находящихся в управлении соответствующей ОКУП;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6"/>
    <w:p>
      <w:pPr>
        <w:spacing w:after="0"/>
        <w:ind w:left="0"/>
        <w:jc w:val="both"/>
      </w:pPr>
      <w:r>
        <w:drawing>
          <wp:inline distT="0" distB="0" distL="0" distR="0">
            <wp:extent cx="355600" cy="29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общее количество использований (ротаций) всех произведений;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7"/>
    <w:p>
      <w:pPr>
        <w:spacing w:after="0"/>
        <w:ind w:left="0"/>
        <w:jc w:val="both"/>
      </w:pPr>
      <w:r>
        <w:drawing>
          <wp:inline distT="0" distB="0" distL="0" distR="0">
            <wp:extent cx="571500" cy="29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часть распределяемого вознаграждения, сформированная за счет вознаграждения, собранного в отчетном периоде, за вычетом фактических расходов экспертной организации.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8"/>
    <w:p>
      <w:pPr>
        <w:spacing w:after="0"/>
        <w:ind w:left="0"/>
        <w:jc w:val="both"/>
      </w:pPr>
      <w:r>
        <w:drawing>
          <wp:inline distT="0" distB="0" distL="0" distR="0">
            <wp:extent cx="4432300" cy="48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432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109"/>
    <w:bookmarkStart w:name="z11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0"/>
    <w:p>
      <w:pPr>
        <w:spacing w:after="0"/>
        <w:ind w:left="0"/>
        <w:jc w:val="both"/>
      </w:pPr>
      <w:r>
        <w:drawing>
          <wp:inline distT="0" distB="0" distL="0" distR="0">
            <wp:extent cx="787400" cy="35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сумма на покрытие фактических расходов ОКУП;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1"/>
    <w:p>
      <w:pPr>
        <w:spacing w:after="0"/>
        <w:ind w:left="0"/>
        <w:jc w:val="both"/>
      </w:pPr>
      <w:r>
        <w:drawing>
          <wp:inline distT="0" distB="0" distL="0" distR="0">
            <wp:extent cx="850900" cy="52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фактические расходы ОКУП;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2"/>
    <w:p>
      <w:pPr>
        <w:spacing w:after="0"/>
        <w:ind w:left="0"/>
        <w:jc w:val="both"/>
      </w:pPr>
      <w:r>
        <w:drawing>
          <wp:inline distT="0" distB="0" distL="0" distR="0">
            <wp:extent cx="711200" cy="43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сумма вознаграждения, приходящаяся на ОКУП за счет текущего сбора;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3"/>
    <w:p>
      <w:pPr>
        <w:spacing w:after="0"/>
        <w:ind w:left="0"/>
        <w:jc w:val="both"/>
      </w:pPr>
      <w:r>
        <w:drawing>
          <wp:inline distT="0" distB="0" distL="0" distR="0">
            <wp:extent cx="736600" cy="33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предельный размер расходов ОКУП (пять процентов).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расчеты вознаграждения осуществляются автоматически посредством единой цифровой платформы в соответствии с настоящими Правилами.</w:t>
      </w:r>
    </w:p>
    <w:bookmarkEnd w:id="114"/>
    <w:bookmarkStart w:name="z12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Для распределения собранного вознаграждения правообладатель или ОКУП размещает сведения, указанные в пунктах 13 и 17 Правил управления единой цифровой платформой в сфере коллективного управления правами и предоставления единой точки доступа к ее использованию, в личном кабинете для обеспечения полноты сведений, содержащихся в реестре правообладателей на единой цифровой платформе.</w:t>
      </w:r>
    </w:p>
    <w:bookmarkEnd w:id="115"/>
    <w:bookmarkStart w:name="z12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Экспертная организация формирует посредством единой цифровой платформы отчет о распределении вознаграждения, в котором содержатся сведения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16"/>
    <w:bookmarkStart w:name="z12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Для целей настоящих Правил вознаграждение признается нераспределенным в следующих случаях:</w:t>
      </w:r>
    </w:p>
    <w:bookmarkEnd w:id="117"/>
    <w:bookmarkStart w:name="z12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невозможности идентификации произведения по отчету, сформированному единой цифровой платформой;</w:t>
      </w:r>
    </w:p>
    <w:bookmarkEnd w:id="118"/>
    <w:bookmarkStart w:name="z12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отсутствии либо недостаточности сведений в реестрах единой цифровой платформы, необходимых для распределения вознаграждения между конкретными правообладателями.</w:t>
      </w:r>
    </w:p>
    <w:bookmarkEnd w:id="119"/>
    <w:bookmarkStart w:name="z12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Нераспределенное вознаграждение хранится на счете экспертной организации для сбора, распределения, выплаты и хранения вознаграждения в течение трех лет с даты его поступления на счет экспертной организации для сбора, распределения, выплаты и хранения вознаграждения.</w:t>
      </w:r>
    </w:p>
    <w:bookmarkEnd w:id="120"/>
    <w:bookmarkStart w:name="z12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По истечении срока, указанного в пункте 34 настоящих Правил, экспертная организация включает такое нераспределенное вознаграждение в распределяемые суммы.</w:t>
      </w:r>
    </w:p>
    <w:bookmarkEnd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Суммы собранного вознаграждения, распределенные экспертной организацией конкретным правообладателям, но признанные невостребованными в соответствии с положениями Правил управления единой цифровой платформой в сфере коллективного управления правами и предоставления единой точки доступа к ее использованию хранятся на текущем счете ОКУП для сбора, распределения, выплаты и хранения вознаграждения и выплачиваются соответствующему правообладателю по мере нахождения или обращения таких лиц вне зависимости от срока хранения таких сумм на текущем счете ОКУП для сбора, распределения, выплаты и хранения вознаграждения.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36 - в редакции приказа Министра юстиции РК от 08.05.2026 </w:t>
      </w:r>
      <w:r>
        <w:rPr>
          <w:rFonts w:ascii="Times New Roman"/>
          <w:b w:val="false"/>
          <w:i w:val="false"/>
          <w:color w:val="000000"/>
          <w:sz w:val="28"/>
        </w:rPr>
        <w:t>№ 420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9" w:id="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Выплата вознаграждения</w:t>
      </w:r>
    </w:p>
    <w:bookmarkEnd w:id="122"/>
    <w:bookmarkStart w:name="z13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Выплата вознаграждения ОКУП осуществляется экспертной организацией ежеквартально в течение одного месяца со дня формирования отчета о распределении на единой цифровой платформе согласно пункту 32 настоящих Правил.</w:t>
      </w:r>
    </w:p>
    <w:bookmarkEnd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Выплата вознаграждения правообладателям осуществляется ОКУП в течение десяти рабочих дней со дня поступления денежных средств на текущий счет для сбора, распределения, выплаты и хранения вознаграждения такой ОКУП.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38 - в редакции приказа Министра юстиции РК от 08.05.2026 </w:t>
      </w:r>
      <w:r>
        <w:rPr>
          <w:rFonts w:ascii="Times New Roman"/>
          <w:b w:val="false"/>
          <w:i w:val="false"/>
          <w:color w:val="000000"/>
          <w:sz w:val="28"/>
        </w:rPr>
        <w:t>№ 420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Для целей настоящих Правил вознаграждение признается невостребованным в следующих случаях:</w:t>
      </w:r>
    </w:p>
    <w:bookmarkEnd w:id="124"/>
    <w:bookmarkStart w:name="z13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отказа ОКУП и (или) правообладателя от получения вознаграждения.</w:t>
      </w:r>
    </w:p>
    <w:bookmarkEnd w:id="125"/>
    <w:bookmarkStart w:name="z13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если ОКУП и (или) правообладатель, в пользу которых начислено вознаграждение, прекратили свою деятельность (в том числе ликвидация юридического лица или смерть физического лица) и правопреемники не заявили свои права в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порядке.</w:t>
      </w:r>
    </w:p>
    <w:bookmarkEnd w:id="126"/>
    <w:bookmarkStart w:name="z13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Для целей настоящих Правил вознаграждение признается невыплаченным в следующих случаях:</w:t>
      </w:r>
    </w:p>
    <w:bookmarkEnd w:id="127"/>
    <w:bookmarkStart w:name="z136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если вознаграждение было распределено и начислено конкретной ОКУП и (или) конкретному правообладателю, однако его выплата не произведена экспертной организацией и (или) ОКУП;</w:t>
      </w:r>
    </w:p>
    <w:bookmarkEnd w:id="128"/>
    <w:bookmarkStart w:name="z13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если выплата вознаграждения приостановлена на основании вступившего в силу решения суда;</w:t>
      </w:r>
    </w:p>
    <w:bookmarkEnd w:id="129"/>
    <w:bookmarkStart w:name="z13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если ОКУП и (или) правообладатель, в пользу которых начислено вознаграждение, по истечении трех месяцев со дня начисления вознаграждения не предоставили либо не актуализировали сведения, необходимые для выплаты вознаграждения (в том числе банковские реквизиты).</w:t>
      </w:r>
    </w:p>
    <w:bookmarkEnd w:id="130"/>
    <w:bookmarkStart w:name="z13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41. На единой цифровой платформе в течение десяти рабочих дней со дня осуществления выплаты вознаграждения ОКУП формируется отчет о выплаченном экспертной организацией вознаграждении среди ОКУП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31"/>
    <w:bookmarkStart w:name="z14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42. ОКУП в течение десяти рабочих дней со дня осуществления выплаты вознаграждения размещает сведения о выплаченном вознаграждении правообладателям на единой цифровой платформе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43. По итогам отчетного периода на единой цифровой платформе формируется отчет об остатке денежных средств на текущих счетах ОКУП для сбора, распределения, выплаты и хранения вознаграждения и экспертной организации, в котором содержатся сведения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43 - в редакции приказа Министра юстиции РК от 08.05.2026 </w:t>
      </w:r>
      <w:r>
        <w:rPr>
          <w:rFonts w:ascii="Times New Roman"/>
          <w:b w:val="false"/>
          <w:i w:val="false"/>
          <w:color w:val="000000"/>
          <w:sz w:val="28"/>
        </w:rPr>
        <w:t>№ 420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сбора,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распределения и выплаты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вознаграждения за воспроизведение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произведения в личных целях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44" w:id="1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</w:t>
      </w:r>
      <w:r>
        <w:br/>
      </w:r>
      <w:r>
        <w:rPr>
          <w:rFonts w:ascii="Times New Roman"/>
          <w:b/>
          <w:i w:val="false"/>
          <w:color w:val="000000"/>
        </w:rPr>
        <w:t>о выплате вознаграждения за воспроизведение произведения в личных целях</w:t>
      </w:r>
      <w:r>
        <w:br/>
      </w:r>
      <w:r>
        <w:rPr>
          <w:rFonts w:ascii="Times New Roman"/>
          <w:b/>
          <w:i w:val="false"/>
          <w:color w:val="000000"/>
        </w:rPr>
        <w:t>без согласия автора, исполнителя и производителя фонограммы</w:t>
      </w:r>
    </w:p>
    <w:bookmarkEnd w:id="133"/>
    <w:bookmarkStart w:name="z145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&lt;идентификационный номер&gt; &lt;дата направления уведомления&gt;</w:t>
      </w:r>
    </w:p>
    <w:bookmarkEnd w:id="134"/>
    <w:bookmarkStart w:name="z146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&lt;полное наименование экспертной организации&gt; &lt;БИН экспертной организации&gt;</w:t>
      </w:r>
    </w:p>
    <w:bookmarkEnd w:id="135"/>
    <w:bookmarkStart w:name="z147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авторском праве и смежных правах" и Правилами сбора, распределения и выплаты вознаграждения за воспроизведение произведения в личных целях, РГП на ПХВ "Национальный институт интеллектуальной собственности" Комитета по правам интеллектуальной собственности Министерства юстиции Республики Казахстан уведомляет Вас о необходимости выплаты вознаграждения за &lt;реализацию&gt; либо &lt;ввоз на территорию Республики Казахстан&gt; оборудования и материальных носителей, предназначенных для воспроизведения произведения в личных целях без получения дохода.</w:t>
      </w:r>
    </w:p>
    <w:bookmarkEnd w:id="136"/>
    <w:bookmarkStart w:name="z148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Сумма вознаграждения рассчитана согласно прилагаемой форме на основании имеющихся у экспертной организации сведений и указана в прилагаемом счете на оплату.</w:t>
      </w:r>
    </w:p>
    <w:bookmarkEnd w:id="137"/>
    <w:bookmarkStart w:name="z149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наличия у Вас сведений, подтверждающих иную сумму &lt;реализации&gt; либо &lt;таможенной стоимости&gt; оборудования и материальных носителей, просим в течение десяти рабочих дней со дня получения настоящего уведомления представить соответствующие сведения с приложением подтверждающих документов.</w:t>
      </w:r>
    </w:p>
    <w:bookmarkEnd w:id="138"/>
    <w:bookmarkStart w:name="z150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Экспертная организация сообщает о том, что акты выполненных работ по сбору, распределению и выплате вознаграждения и электронные счета-фактуры выписываются только на сумму фактических расходов экспертной организации по сбору, распределению и выплате вознаграждения, не превышающей двадцати пяти процентов от суммы собранного вознаграждения. </w:t>
      </w:r>
    </w:p>
    <w:bookmarkEnd w:id="139"/>
    <w:bookmarkStart w:name="z151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Приложение:</w:t>
      </w:r>
    </w:p>
    <w:bookmarkEnd w:id="140"/>
    <w:bookmarkStart w:name="z152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Расчет суммы вознаграждения</w:t>
      </w:r>
    </w:p>
    <w:bookmarkEnd w:id="141"/>
    <w:bookmarkStart w:name="z153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Счет на оплату</w:t>
      </w:r>
    </w:p>
    <w:bookmarkEnd w:id="14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Уведомлению о выплате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вознаграждения за воспроизведение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произведения в личных целях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согласия автора,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исполнителя и производителя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фонограммы</w:t>
            </w:r>
          </w:p>
        </w:tc>
      </w:tr>
    </w:tbl>
    <w:bookmarkStart w:name="z155" w:id="1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Расчет суммы вознаграждения</w:t>
      </w:r>
    </w:p>
    <w:bookmarkEnd w:id="143"/>
    <w:bookmarkStart w:name="z156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&lt;полное наименование экспертной организации&gt;</w:t>
      </w:r>
    </w:p>
    <w:bookmarkEnd w:id="1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&lt;изготовителя&gt; либо &lt;импортера&gt; оборудования и материальных носителей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&lt;№ и дата уведомления о выплате вознаграждения&gt;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&lt;сведения из таможенной декларации&gt;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(для импортеров)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модель оборудования и материальных носителей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7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далее</w:t>
      </w:r>
    </w:p>
    <w:bookmarkEnd w:id="1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ТН ВЭД ТС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&lt;импортированных&gt; или &lt;изготовленных&gt; единиц оборудования и материальных носителей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&lt;таможенная стоимость&gt; либо &lt;цена реализации&gt;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итоговая сумма вознаграждения к оплате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58" w:id="146"/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Сумма вознаграждения рассчитывается на основе размера ставки вознаграждения, установленного уполномоченным органом.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сбора,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распределения и выплаты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вознаграждения за воспроизведение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произведения в личных целях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61" w:id="1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ДОГОВОР</w:t>
      </w:r>
      <w:r>
        <w:br/>
      </w:r>
      <w:r>
        <w:rPr>
          <w:rFonts w:ascii="Times New Roman"/>
          <w:b/>
          <w:i w:val="false"/>
          <w:color w:val="000000"/>
        </w:rPr>
        <w:t>о выплате вознаграждения между экспертной организацией и ОКУП</w:t>
      </w:r>
    </w:p>
    <w:bookmarkEnd w:id="147"/>
    <w:bookmarkStart w:name="z162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&lt;идентификационный номер&gt;</w:t>
      </w:r>
    </w:p>
    <w:bookmarkEnd w:id="148"/>
    <w:bookmarkStart w:name="z163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&lt;место нахождения экспертной организации&gt; &lt;№ номер договора&gt; (при наличии) &lt;дата заключения договора&gt;</w:t>
      </w:r>
    </w:p>
    <w:bookmarkEnd w:id="149"/>
    <w:bookmarkStart w:name="z164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Договор между РГП на ПХВ "Национальный институт интеллектуальной собственности" Комитета по правам интеллектуальной собственности Министерства юстиции Республики Казахстан, созданное по решению Правительства Республики Казахстан и действующее в соответствии с законодательством Республики Казахстан в лице &lt;ФИО, должность&gt;, действующим на основании &lt;основание&gt;, именуемое в дальнейшем "экспертная организация", с одной стороны, и &lt;полное наименование ОКУП&gt;, осуществляющее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авторском праве и смежных правах" (далее – Закон), в лице &lt;первый руководитель&gt;, действующего на основании &lt;основание&gt;, именуемая в дальнейшем "ОКУП", с другой стороны, совместно именуемые "Стороны", принимая во внимание функции, осуществляемые экспертной организацией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9-2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заключили настоящий Договор о выплате вознаграждения за воспроизведение произведения в личных целях (далее – Договор) о нижеследующем:</w:t>
      </w:r>
    </w:p>
    <w:bookmarkEnd w:id="150"/>
    <w:bookmarkStart w:name="z165" w:id="1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ПРЕДМЕТ ДОГОВОРА</w:t>
      </w:r>
    </w:p>
    <w:bookmarkEnd w:id="151"/>
    <w:bookmarkStart w:name="z166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1.1. Экспертная организация осуществляет сбор вознаграждения с изготовителей и импортеров оборудования и материальных носителей, используемых для воспроизведения произведения в личных целях без согласия автора, исполнителя и производителя фонограммы.</w:t>
      </w:r>
    </w:p>
    <w:bookmarkEnd w:id="152"/>
    <w:bookmarkStart w:name="z167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1.2. Собранное вознаграждение экспертная организация распределяет между ОКУП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и Правилами сбора, распределения и выплаты вознаграждения за воспроизведение произведения в личных целях (далее – Правила).</w:t>
      </w:r>
    </w:p>
    <w:bookmarkEnd w:id="153"/>
    <w:bookmarkStart w:name="z168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1.3. ОКУП выплачивает вознаграждение правообладателям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и положениями Правил.</w:t>
      </w:r>
    </w:p>
    <w:bookmarkEnd w:id="154"/>
    <w:bookmarkStart w:name="z169" w:id="1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ФИНАНСОВЫЕ УСЛОВИЯ</w:t>
      </w:r>
    </w:p>
    <w:bookmarkEnd w:id="155"/>
    <w:bookmarkStart w:name="z170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2.1. Экспертная организация распределяет собранное вознаграждение между ОКУП в соответствии с Правилами посредством единой цифровой платформы ежеквартально не позднее 25 числа месяца, следующего за отчетным периодом.</w:t>
      </w:r>
    </w:p>
    <w:bookmarkEnd w:id="156"/>
    <w:bookmarkStart w:name="z171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2.2. Экспертная организация вычитает из собранного вознаграждения суммы на покрытие фактических расходов по сбору, распределению и выплате такого вознаграждения, но не более двадцати пяти процентов от общей суммы собранного вознаграждения.</w:t>
      </w:r>
    </w:p>
    <w:bookmarkEnd w:id="157"/>
    <w:bookmarkStart w:name="z172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2.3. ОКУП вычитает из суммы, подлежащей к выплате ей вознаграждения, за исключением суммы на покрытие фактических расходов, но не более пяти процентов от суммы, подлежащей к выплате ей вознаграждения.</w:t>
      </w:r>
    </w:p>
    <w:bookmarkEnd w:id="158"/>
    <w:bookmarkStart w:name="z173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2.4. Экспертная организация выплачивает распределенное вознаграждение ОКУП в соответствии с Правилами ежеквартально в течение одного месяца со дня формирования отчета о распределении на единой цифровой платформе.</w:t>
      </w:r>
    </w:p>
    <w:bookmarkEnd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2.5. Выплата вознаграждения правообладателям осуществляется ОКУП в течение десяти рабочих дней со дня поступления денежных средств на текущий счет ОКУП для сбора, распределения, выплаты и хранения вознаграждения.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2.5 - в редакции приказа Министра юстиции РК от 08.05.2026 </w:t>
      </w:r>
      <w:r>
        <w:rPr>
          <w:rFonts w:ascii="Times New Roman"/>
          <w:b w:val="false"/>
          <w:i w:val="false"/>
          <w:color w:val="000000"/>
          <w:sz w:val="28"/>
        </w:rPr>
        <w:t>№ 420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5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2.6. ОКУП ежеквартально размещает сведения о выплаченном вознаграждении на единой цифровой платформе по форме согласно приложению 6 к Правилам.</w:t>
      </w:r>
    </w:p>
    <w:bookmarkEnd w:id="160"/>
    <w:bookmarkStart w:name="z176" w:id="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ПРАВОВОЙ РЕЖИМ ПЕРСОНАЛЬНЫХ ДАННЫХ</w:t>
      </w:r>
    </w:p>
    <w:bookmarkEnd w:id="161"/>
    <w:bookmarkStart w:name="z177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3.1. ОКУП дает свое согласие экспертной организации на обработку, хранение, использование и передачу персональных данных правообладателей, включая, но не ограничиваясь, фамилией, именем, отчеством, псевдонимом, контактными данными, идентификационными кодами, сведениями о принадлежащих ему объектах авторских и (или) смежных прав, долях прав и иной информацией, необходимой для целей коллективного управления правами с использованием единой цифровой платформы.</w:t>
      </w:r>
    </w:p>
    <w:bookmarkEnd w:id="162"/>
    <w:bookmarkStart w:name="z178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 ОКУП обеспечивает законность сбора и передачи персональных данных, а также наличие согласий субъектов персональных данных, если иное не предусмотрено законодательством Республики Казахстан.</w:t>
      </w:r>
    </w:p>
    <w:bookmarkEnd w:id="163"/>
    <w:bookmarkStart w:name="z179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3.3. Экспертная организация осуществляет хранение и обработку сведений, размещаемых ОКУП на единой цифровой платформе, исключительно в целях осуществления функций, возложенных на нее Законом и Правилами.</w:t>
      </w:r>
    </w:p>
    <w:bookmarkEnd w:id="164"/>
    <w:bookmarkStart w:name="z180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3.4. Прекращение действия или расторжение настоящего Договора не влечет уничтожение персональных данных и иной информации на единой цифровой платформе, размещенных ОКУП, если их дальнейшее хранение необходимо для исполнения требований законодательства Республики Казахстан.</w:t>
      </w:r>
    </w:p>
    <w:bookmarkEnd w:id="165"/>
    <w:bookmarkStart w:name="z181" w:id="1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ПОРЯДОК РАЗРЕШЕНИЯ СПОРОВ</w:t>
      </w:r>
    </w:p>
    <w:bookmarkEnd w:id="166"/>
    <w:bookmarkStart w:name="z182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4.1. Все споры и разногласия, возникающие в связи с исполнением настоящего Договора, разрешаются путем переговоров между Сторонами.</w:t>
      </w:r>
    </w:p>
    <w:bookmarkEnd w:id="167"/>
    <w:bookmarkStart w:name="z183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4.2. Если в течение пятнадцати рабочих дней после начала таких переговоров Стороны не смогут разрешить спор по Договору, любая из Сторон может потребовать решения этого вопроса в судебном порядке по месту нахождения экспертной организации.</w:t>
      </w:r>
    </w:p>
    <w:bookmarkEnd w:id="168"/>
    <w:bookmarkStart w:name="z184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4.3. Все вопросы, не урегулированные Договором, регулируются законодательством Республики Казахстан.</w:t>
      </w:r>
    </w:p>
    <w:bookmarkEnd w:id="169"/>
    <w:bookmarkStart w:name="z185" w:id="1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СРОК ДЕЙСТВИЯ ДОГОВОРА</w:t>
      </w:r>
    </w:p>
    <w:bookmarkEnd w:id="170"/>
    <w:bookmarkStart w:name="z186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5.1. Настоящий Договор вступает в законную силу с даты подписания Сторонами и действует до &lt;срок действия Договора&gt;.</w:t>
      </w:r>
    </w:p>
    <w:bookmarkEnd w:id="171"/>
    <w:bookmarkStart w:name="z187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5.2. Срок действия настоящего Договора автоматически продлевается каждый раз на один календарный год до тех пор, пока одна из Сторон в письменной форме и (или) посредством единой цифровой платформы не уведомит другую Сторону о его расторжении, но не позднее, чем за тридцать календарных дней до окончания срока его действия.</w:t>
      </w:r>
    </w:p>
    <w:bookmarkEnd w:id="172"/>
    <w:bookmarkStart w:name="z188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5.3. После прекращения действия настоящего Договора его положения, предусмотренные разделами 1 и 2, остаются в силе до тех пор, пока Стороны не выполнят обязательства, вытекающие из настоящего Договора, в полном объеме.</w:t>
      </w:r>
    </w:p>
    <w:bookmarkEnd w:id="173"/>
    <w:bookmarkStart w:name="z189" w:id="1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6. ПРОЧИЕ УСЛОВИЯ</w:t>
      </w:r>
    </w:p>
    <w:bookmarkEnd w:id="174"/>
    <w:bookmarkStart w:name="z190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6.1. Условия, не урегулированные настоящим Договором, но имеющие отношение к его предмету, регулируются в соответствии с законодательством Республики Казахстан.</w:t>
      </w:r>
    </w:p>
    <w:bookmarkEnd w:id="175"/>
    <w:bookmarkStart w:name="z191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6.2. Все изменения и дополнения к настоящему Договору действительны лишь в тех случаях, если они совершены в форме, предусмотренной законодательством Республики Казахстан, и подписаны уполномоченными на то представителями Сторон.</w:t>
      </w:r>
    </w:p>
    <w:bookmarkEnd w:id="176"/>
    <w:bookmarkStart w:name="z192" w:id="1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7. РЕКВИЗИТЫ СТОРОН:</w:t>
      </w:r>
    </w:p>
    <w:bookmarkEnd w:id="17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Экспертная организация: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&lt;полное наименование&gt;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Адрес: &lt;заполняется экспертной организацией&gt;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Тел.: &lt;заполняется экспертной организацией&gt;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e-mail: &lt;заполняется экспертной организацией&gt;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сайт: &lt;заполняется экспертной организацией&gt;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БИН: &lt;заполняется экспертной организацией&gt;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ИИК: &lt;заполняется экспертной организацией&gt;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ОКУП: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&lt;полное наименование&gt;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Адрес: &lt;заполняется ОКУП&gt;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Тел.: &lt;заполняется ОКУП&gt;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e-mail: &lt;заполняется ОКУП&gt;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сайт: &lt;заполняется ОКУП&gt;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БИН: &lt;заполняется ОКУП&gt;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ИИК: &lt;заполняется ОКУП&gt;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Подписи сторон: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Экспертная организация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&lt;полное наименование и должность&gt;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&lt;подпись&gt;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ОКУП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&lt;полное наименование и должность&gt;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&lt;подпись&gt;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сбора,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распределения и выплаты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вознаграждения за воспроизведение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произведения в личных целях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95" w:id="1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</w:t>
      </w:r>
      <w:r>
        <w:br/>
      </w:r>
      <w:r>
        <w:rPr>
          <w:rFonts w:ascii="Times New Roman"/>
          <w:b/>
          <w:i w:val="false"/>
          <w:color w:val="000000"/>
        </w:rPr>
        <w:t>о собранном вознаграждении</w:t>
      </w:r>
    </w:p>
    <w:bookmarkEnd w:id="178"/>
    <w:bookmarkStart w:name="z196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&lt;идентификационный номер&gt; &lt;дата формирования отчета&gt;</w:t>
      </w:r>
    </w:p>
    <w:bookmarkEnd w:id="179"/>
    <w:bookmarkStart w:name="z197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&lt;полное наименование экспертной организации&gt; &lt;БИН экспертной организации&gt; &lt;отчетный период&gt;</w:t>
      </w:r>
    </w:p>
    <w:bookmarkEnd w:id="180"/>
    <w:bookmarkStart w:name="z198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Сведения о собранном вознаграждении</w:t>
      </w:r>
    </w:p>
    <w:bookmarkEnd w:id="18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собранного вознаграждения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т.ч. от изготовителей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т.ч. от импортеров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99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Сведения об оборудовании и материальных носителях изготовителей</w:t>
      </w:r>
    </w:p>
    <w:bookmarkEnd w:id="1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модель оборудования и материальных носителей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ТН ВЭД ТС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изготовленного оборудования и материальных носителей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реализации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00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Сведения об оборудовании и материальных носителях импортеров</w:t>
      </w:r>
    </w:p>
    <w:bookmarkEnd w:id="18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модель оборудования и материальных носителей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ТН ВЭД ТС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импортированного оборудования и материальных носителей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Таможенная стоимость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сбора,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распределения и выплаты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вознаграждения за воспроизведение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произведения в личных целях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03" w:id="1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</w:t>
      </w:r>
      <w:r>
        <w:br/>
      </w:r>
      <w:r>
        <w:rPr>
          <w:rFonts w:ascii="Times New Roman"/>
          <w:b/>
          <w:i w:val="false"/>
          <w:color w:val="000000"/>
        </w:rPr>
        <w:t>о распределении вознаграждения между ОКУП</w:t>
      </w:r>
    </w:p>
    <w:bookmarkEnd w:id="184"/>
    <w:bookmarkStart w:name="z204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&lt;идентификационный номер&gt; &lt;дата формирования отчета&gt;</w:t>
      </w:r>
    </w:p>
    <w:bookmarkEnd w:id="185"/>
    <w:bookmarkStart w:name="z205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&lt;полное наименование экспертной организации&gt; &lt;отчетный период, за который осуществляется распределение вознаграждения&gt;</w:t>
      </w:r>
    </w:p>
    <w:bookmarkEnd w:id="186"/>
    <w:bookmarkStart w:name="z206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Сведения о собранном и распределенном вознаграждении в разрезе ОКУП</w:t>
      </w:r>
    </w:p>
    <w:bookmarkEnd w:id="18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собранного вознаграждения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фактических расходов экспертной организации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нераспределенного вознаграждения за предшествующий(ие) отчетный(ые) период(ы), подлежащая перераспределению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ОКУП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вознаграждения, подлежащая распределению в разрезе ОКУП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фактических расходов ОКУП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07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Сведения о распределенном вознаграждении в разрезе произведений и правообладателей</w:t>
      </w:r>
    </w:p>
    <w:bookmarkEnd w:id="1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произведения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использований (ротаций)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вознаграждения, приходящаяся на произведение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 автора(ов),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08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далее</w:t>
      </w:r>
    </w:p>
    <w:bookmarkEnd w:id="18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 / БИН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автора(ов)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и сумма вознаграждения автора(ов)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 исполнителя(ей)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 / БИН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исполнителя(ей)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и сумма вознаграждения исполнителя(ей)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10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далее</w:t>
      </w:r>
    </w:p>
    <w:bookmarkEnd w:id="1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 производителя фонограммы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 / БИН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производителя фонограммы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и сумма вознаграждения производителя фонограммы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сбора,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распределения и выплаты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вознаграждения за воспроизведение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произведения в личных целях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13" w:id="1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</w:t>
      </w:r>
      <w:r>
        <w:br/>
      </w:r>
      <w:r>
        <w:rPr>
          <w:rFonts w:ascii="Times New Roman"/>
          <w:b/>
          <w:i w:val="false"/>
          <w:color w:val="000000"/>
        </w:rPr>
        <w:t>о выплаченном экспертной организацией вознаграждении среди ОКУП</w:t>
      </w:r>
    </w:p>
    <w:bookmarkEnd w:id="191"/>
    <w:bookmarkStart w:name="z214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&lt;идентификационный номер&gt; &lt;дата формирования отчета&gt;</w:t>
      </w:r>
    </w:p>
    <w:bookmarkEnd w:id="192"/>
    <w:bookmarkStart w:name="z215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&lt;полное наименование экспертной организации&gt; &lt;БИН экспертной организации&gt;</w:t>
      </w:r>
    </w:p>
    <w:bookmarkEnd w:id="19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собранного вознаграждения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фактических расходов экспертной организации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ОКУП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нераспределенного вознаграждения за предшествующий(ие) отчетный(ые) период(ы), подлежащая перераспределению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вознаграждения, выплаченная ОКУП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правами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сбора, распределения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выплаты вознаграждения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воспроизведение произведения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личных целях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18" w:id="1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</w:t>
      </w:r>
      <w:r>
        <w:br/>
      </w:r>
      <w:r>
        <w:rPr>
          <w:rFonts w:ascii="Times New Roman"/>
          <w:b/>
          <w:i w:val="false"/>
          <w:color w:val="000000"/>
        </w:rPr>
        <w:t>о выплаченном вознаграждении правообладателям</w:t>
      </w:r>
    </w:p>
    <w:bookmarkEnd w:id="194"/>
    <w:bookmarkStart w:name="z219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&lt;идентификационный номер&gt; &lt;дата составления отчета&gt;</w:t>
      </w:r>
    </w:p>
    <w:bookmarkEnd w:id="195"/>
    <w:bookmarkStart w:name="z220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&lt;полное наименование ОКУП&gt; &lt;БИН ОКУП&gt; &lt;отчетный период&gt;</w:t>
      </w:r>
    </w:p>
    <w:bookmarkEnd w:id="196"/>
    <w:bookmarkStart w:name="z221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Сведения о собранном и распределенном вознаграждении в разрезе ОКУП</w:t>
      </w:r>
    </w:p>
    <w:bookmarkEnd w:id="19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собранного вознаграждения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фактических расходов экспертной организации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нераспределенного вознаграждения за предшествующий(ие) отчетный(ые) период(ы), подлежащая перераспределению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правами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22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далее</w:t>
      </w:r>
    </w:p>
    <w:bookmarkEnd w:id="19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ОКУП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вознаграждения, подлежащая распределению в разрезе ОКУП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фактических расходов ОКУП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подлежащая к начислению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правами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23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Сведения о выплаченном вознаграждении в разрезе правообладателей</w:t>
      </w:r>
    </w:p>
    <w:bookmarkEnd w:id="19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правообладателя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ИИН / БИН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начисленного вознаграждения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удержаний (ИПН/КПН)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подлежащая выплате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фактической выплаты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платежа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платежного поручения и назначение платежа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правами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правами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правами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правами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сбора,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распределения и выплаты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вознаграждения за воспроизведение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произведения в личных целях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26" w:id="2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</w:t>
      </w:r>
      <w:r>
        <w:br/>
      </w:r>
      <w:r>
        <w:rPr>
          <w:rFonts w:ascii="Times New Roman"/>
          <w:b/>
          <w:i w:val="false"/>
          <w:color w:val="000000"/>
        </w:rPr>
        <w:t>об остатке денежных средств на текущих счетах ОКУП для сбора, распределения, выплаты и хранения вознаграждения и экспертной организации</w:t>
      </w:r>
    </w:p>
    <w:bookmarkEnd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 с изменениеями, внесенными приказами Министра юстиции РК от 08.05.2026 </w:t>
      </w:r>
      <w:r>
        <w:rPr>
          <w:rFonts w:ascii="Times New Roman"/>
          <w:b w:val="false"/>
          <w:i w:val="false"/>
          <w:color w:val="ff0000"/>
          <w:sz w:val="28"/>
        </w:rPr>
        <w:t>№ 420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227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&lt;идентификационный номер&gt; &lt;дата формирования отчета&gt;</w:t>
      </w:r>
    </w:p>
    <w:bookmarkEnd w:id="201"/>
    <w:bookmarkStart w:name="z228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&lt;полное наименование ОКУП&gt; &lt;БИН ОКУП&gt; &lt;отчетный период&gt;</w:t>
      </w:r>
    </w:p>
    <w:bookmarkEnd w:id="202"/>
    <w:bookmarkStart w:name="z229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Сведения об остатке денежных средств на счете для сбора, распределения, выплаты и хранения вознаграждения экспертной организации</w:t>
      </w:r>
    </w:p>
    <w:bookmarkEnd w:id="2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отчетный период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предыдущие отчетные периоды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за весь период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Поступления, всего: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собранного вознаграждения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нераспределенного вознаграждения за предшествующий(ие) отчетный(ые) период(ы), подлежащая перераспределению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Выбытие, всего: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фактических расходов экспертной организации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2.2.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фактических расходов ОКУП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фактической выплаты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денежных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нераспределенного вознаграждения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невостребованного вознаграждения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невыплаченного вознаграждения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30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Сведения об остатке денежных средств на текущем счете ОКУП для сбора, распределения, выплаты и хранения вознаграждения </w:t>
      </w:r>
    </w:p>
    <w:bookmarkEnd w:id="20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отчетный период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предыдущие периоды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за весь период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Поступления, всего: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вознаграждения, выплаченная экспертной организацией ОКУП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Выбытие, всего: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фактических расходов ОКУП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удержаний (ИПН/КПН)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фактической выплаты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денежных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невостребованного вознаграждения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невыплаченного вознаграждения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авторские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смежные права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января 2026 года № 99</w:t>
            </w:r>
          </w:p>
        </w:tc>
      </w:tr>
    </w:tbl>
    <w:bookmarkStart w:name="z232" w:id="2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 вознаграждения за воспроизведение аудиовизуальных произведений и фонограмм в личных целях и без получения дохода</w:t>
      </w:r>
    </w:p>
    <w:bookmarkEnd w:id="20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Лица, выплачивающие вознаграждение за воспроизведение аудиовизуальных произведений и фонограмм в личных целях и без получения дохода без согласия автора, исполнителя, производителя аудиовизуального произведения и производителя фонограммы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вознаграждения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аудиовизуальные произведения (авторские права)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фонограммы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(смежные права)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изготовители (от цены реализации единицы оборудования и материальных носителей)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0,25%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0,25%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импортеры (от таможенной стоимости единицы оборудования и материальных носителей)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0,25%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0,25% 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Relationship Target="media/document_image_rId30.jpeg" Type="http://schemas.openxmlformats.org/officeDocument/2006/relationships/image" Id="rId30"/><Relationship Target="media/document_image_rId31.jpeg" Type="http://schemas.openxmlformats.org/officeDocument/2006/relationships/image" Id="rId31"/><Relationship Target="media/document_image_rId32.jpeg" Type="http://schemas.openxmlformats.org/officeDocument/2006/relationships/image" Id="rId32"/><Relationship Target="media/document_image_rId33.jpeg" Type="http://schemas.openxmlformats.org/officeDocument/2006/relationships/image" Id="rId33"/><Relationship Target="media/document_image_rId34.jpeg" Type="http://schemas.openxmlformats.org/officeDocument/2006/relationships/image" Id="rId34"/><Relationship Target="media/document_image_rId35.jpeg" Type="http://schemas.openxmlformats.org/officeDocument/2006/relationships/image" Id="rId35"/><Relationship Target="media/document_image_rId36.jpeg" Type="http://schemas.openxmlformats.org/officeDocument/2006/relationships/image" Id="rId36"/><Relationship Target="media/document_image_rId37.jpeg" Type="http://schemas.openxmlformats.org/officeDocument/2006/relationships/image" Id="rId37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